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Hlk12181821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全民营养周-高血压膳食指南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560" w:firstLineChars="200"/>
        <w:jc w:val="center"/>
        <w:textAlignment w:val="auto"/>
        <w:rPr>
          <w:rFonts w:hint="eastAsia" w:ascii="仿宋_GB2312" w:hAnsi="Times New Roman" w:eastAsia="仿宋_GB2312" w:cs="Times New Roman"/>
          <w:color w:val="0000FF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FF"/>
          <w:sz w:val="28"/>
          <w:szCs w:val="28"/>
        </w:rPr>
        <w:t>撰稿：丁彩翠  副研究员  中国疾病预防控制中心营养与健康所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560" w:firstLineChars="200"/>
        <w:jc w:val="center"/>
        <w:textAlignment w:val="auto"/>
        <w:rPr>
          <w:rFonts w:hint="default" w:ascii="仿宋_GB2312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FF"/>
          <w:sz w:val="28"/>
          <w:szCs w:val="28"/>
          <w:lang w:val="en-US" w:eastAsia="zh-CN"/>
        </w:rPr>
        <w:t>版权归属：中国营养学会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随着年龄增加，各种慢性病也开始威胁健康，其中很重要的一个当属高血压。高血压的危害不仅在于血压本身，更在于它是导致冠心病、脑卒中等心血管疾病、死</w:t>
      </w:r>
      <w:bookmarkStart w:id="10" w:name="_GoBack"/>
      <w:bookmarkEnd w:id="10"/>
      <w:r>
        <w:rPr>
          <w:rFonts w:hint="eastAsia" w:ascii="仿宋_GB2312" w:hAnsi="Times New Roman" w:eastAsia="仿宋_GB2312" w:cs="Times New Roman"/>
          <w:sz w:val="32"/>
          <w:szCs w:val="32"/>
        </w:rPr>
        <w:t>亡的主要原因之一。高血压危险因素多与不合理膳食相关，包括高钠、低钾膳食、过量饮酒等。</w:t>
      </w:r>
      <w:bookmarkEnd w:id="0"/>
      <w:bookmarkStart w:id="1" w:name="_Hlk11922915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年1月，国家卫健委印发了成人高脂血症食养指南（</w:t>
      </w:r>
      <w:r>
        <w:rPr>
          <w:rFonts w:ascii="仿宋_GB2312" w:hAnsi="Times New Roman" w:eastAsia="仿宋_GB2312" w:cs="Times New Roman"/>
          <w:sz w:val="32"/>
          <w:szCs w:val="32"/>
        </w:rPr>
        <w:t>2023年版）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等4项食养指南。其中《成人高血压食养指南》（</w:t>
      </w:r>
      <w:r>
        <w:rPr>
          <w:rFonts w:ascii="仿宋_GB2312" w:hAnsi="Times New Roman" w:eastAsia="仿宋_GB2312" w:cs="Times New Roman"/>
          <w:sz w:val="32"/>
          <w:szCs w:val="32"/>
        </w:rPr>
        <w:t>2023年版）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（以下简称《指南》）由中国疾病预防控制中心营养与健康所牵头编制，根据营养科学理论、中医理论和目前膳食相关慢性病科学研究文献证据，对高血压患者的日常食养提出</w:t>
      </w:r>
      <w:bookmarkStart w:id="2" w:name="_Hlk121826155"/>
      <w:r>
        <w:rPr>
          <w:rFonts w:hint="eastAsia" w:ascii="仿宋_GB2312" w:hAnsi="Times New Roman" w:eastAsia="仿宋_GB2312" w:cs="Times New Roman"/>
          <w:sz w:val="32"/>
          <w:szCs w:val="32"/>
        </w:rPr>
        <w:t>建议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如果高血压患者能重视日常生活方式，按照以下食养建议做出调整，将会使血压的控制效果更好。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食养原则和建议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81915</wp:posOffset>
            </wp:positionV>
            <wp:extent cx="2910840" cy="2479040"/>
            <wp:effectExtent l="0" t="0" r="3810" b="0"/>
            <wp:wrapSquare wrapText="bothSides"/>
            <wp:docPr id="5" name="图片 2" descr="G:\4个食养指南\微信图片_2023020717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G:\4个食养指南\微信图片_20230207171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479" cy="248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outlineLvl w:val="1"/>
        <w:rPr>
          <w:rFonts w:ascii="楷体" w:hAnsi="楷体" w:eastAsia="楷体" w:cs="Times New Roman"/>
          <w:bCs/>
          <w:sz w:val="32"/>
          <w:szCs w:val="32"/>
        </w:rPr>
      </w:pPr>
      <w:bookmarkStart w:id="3" w:name="_Toc124866879"/>
      <w:r>
        <w:rPr>
          <w:rFonts w:hint="eastAsia" w:ascii="楷体" w:hAnsi="楷体" w:eastAsia="楷体" w:cs="Times New Roman"/>
          <w:bCs/>
          <w:sz w:val="32"/>
          <w:szCs w:val="32"/>
        </w:rPr>
        <w:t>减钠增钾，饮食清淡。</w:t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每人每日食盐摄入量逐步降至5g以下，不仅注意家庭烹调盐，还要注意高盐调味品以及加工食品中的钠含量。增加富钾食物（如新鲜蔬菜、水果和豆类等）的摄入量；肾功能良好者可选择高钾低钠盐。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同时，高血压患者要注意限制膳食脂肪和胆固醇摄入量，包括油炸食品和动物内脏。少吃加工红肉制品，如培根、香肠、腊肠等。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outlineLvl w:val="1"/>
        <w:rPr>
          <w:rFonts w:ascii="楷体" w:hAnsi="楷体" w:eastAsia="楷体" w:cs="Times New Roman"/>
          <w:bCs/>
          <w:sz w:val="32"/>
          <w:szCs w:val="32"/>
        </w:rPr>
      </w:pPr>
      <w:bookmarkStart w:id="4" w:name="_Toc124866880"/>
      <w:r>
        <w:rPr>
          <w:rFonts w:hint="eastAsia" w:ascii="楷体" w:hAnsi="楷体" w:eastAsia="楷体" w:cs="Times New Roman"/>
          <w:bCs/>
          <w:sz w:val="32"/>
          <w:szCs w:val="32"/>
        </w:rPr>
        <w:t>合理膳食，科学食养。</w:t>
      </w:r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遵循合理膳食原则，丰富食物品种，做到食物多样，合理安排一日三餐。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推荐高血压患者多吃含膳食纤维丰富的蔬果，且深色蔬菜要占到总蔬菜量的一半以上，蔬菜和水果不能相互替代；摄入适量的谷类、薯类，其中全谷物或杂豆占谷类的</w:t>
      </w:r>
      <w:r>
        <w:rPr>
          <w:rFonts w:ascii="仿宋_GB2312" w:hAnsi="仿宋_GB2312" w:eastAsia="仿宋_GB2312" w:cs="仿宋_GB2312"/>
          <w:sz w:val="32"/>
          <w:szCs w:val="32"/>
        </w:rPr>
        <w:t xml:space="preserve"> 1/4～1/2；适当补充蛋白质，可多选择奶类、鱼类、大豆及其制品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作为蛋白质来源；限制添加糖摄入；减少摄入食盐及含钠调味品（酱油、酱类、蚝油、鸡精、味精等）。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采取有效合理的中医食养对高血压有辅助预防和改善的作用。以下是高血压</w:t>
      </w:r>
      <w:r>
        <w:rPr>
          <w:rFonts w:ascii="仿宋_GB2312" w:hAnsi="仿宋_GB2312" w:eastAsia="仿宋_GB2312" w:cs="仿宋_GB2312"/>
          <w:sz w:val="32"/>
          <w:szCs w:val="32"/>
        </w:rPr>
        <w:t>不同证型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食养方举例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更多</w:t>
      </w:r>
      <w:r>
        <w:rPr>
          <w:rFonts w:ascii="仿宋_GB2312" w:hAnsi="仿宋_GB2312" w:eastAsia="仿宋_GB2312" w:cs="仿宋_GB2312"/>
          <w:sz w:val="32"/>
          <w:szCs w:val="32"/>
        </w:rPr>
        <w:t>食养方举例</w:t>
      </w:r>
      <w:r>
        <w:rPr>
          <w:rFonts w:hint="eastAsia" w:ascii="仿宋_GB2312" w:hAnsi="宋体" w:eastAsia="仿宋_GB2312"/>
          <w:sz w:val="32"/>
          <w:szCs w:val="32"/>
        </w:rPr>
        <w:t>见《指南》。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芹菜粳米瘦肉粥（</w:t>
      </w:r>
      <w:r>
        <w:rPr>
          <w:rFonts w:ascii="楷体" w:hAnsi="楷体" w:eastAsia="楷体" w:cs="Times New Roman"/>
          <w:sz w:val="32"/>
          <w:szCs w:val="32"/>
        </w:rPr>
        <w:t>肝火上炎证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主要材料：芹菜50g，粳米</w:t>
      </w:r>
      <w:r>
        <w:rPr>
          <w:rFonts w:ascii="仿宋_GB2312" w:hAnsi="宋体" w:eastAsia="仿宋_GB2312" w:cs="宋体"/>
          <w:kern w:val="2"/>
          <w:sz w:val="32"/>
          <w:szCs w:val="32"/>
        </w:rPr>
        <w:t>50g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，枸杞子</w:t>
      </w:r>
      <w:r>
        <w:rPr>
          <w:rFonts w:ascii="仿宋_GB2312" w:hAnsi="宋体" w:eastAsia="仿宋_GB2312" w:cs="宋体"/>
          <w:kern w:val="2"/>
          <w:sz w:val="32"/>
          <w:szCs w:val="32"/>
        </w:rPr>
        <w:t>10g，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猪瘦肉</w:t>
      </w:r>
      <w:r>
        <w:rPr>
          <w:rFonts w:ascii="仿宋_GB2312" w:hAnsi="宋体" w:eastAsia="仿宋_GB2312" w:cs="宋体"/>
          <w:kern w:val="2"/>
          <w:sz w:val="32"/>
          <w:szCs w:val="32"/>
        </w:rPr>
        <w:t>20g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制作方法：芹菜洗净切碎，与粳米、枸杞子、猪瘦肉末加适量水同煮为粥，佐餐食用。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橘皮饭（</w:t>
      </w:r>
      <w:r>
        <w:rPr>
          <w:rFonts w:ascii="楷体" w:hAnsi="楷体" w:eastAsia="楷体" w:cs="Times New Roman"/>
          <w:bCs/>
          <w:sz w:val="32"/>
          <w:szCs w:val="32"/>
        </w:rPr>
        <w:t>痰湿内阻证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主要材料：橘皮10g，粳米</w:t>
      </w:r>
      <w:r>
        <w:rPr>
          <w:rFonts w:ascii="仿宋_GB2312" w:hAnsi="宋体" w:eastAsia="仿宋_GB2312" w:cs="宋体"/>
          <w:kern w:val="2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制作方法：橘皮洗干净表面的灰尘，剪成小条，同粳米煮饭，佐餐食用。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山楂粥（</w:t>
      </w:r>
      <w:r>
        <w:rPr>
          <w:rFonts w:ascii="楷体" w:hAnsi="楷体" w:eastAsia="楷体" w:cs="Times New Roman"/>
          <w:bCs/>
          <w:sz w:val="32"/>
          <w:szCs w:val="32"/>
        </w:rPr>
        <w:t>瘀血内阻证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主要材料：山楂20</w:t>
      </w:r>
      <w:r>
        <w:rPr>
          <w:rFonts w:ascii="仿宋_GB2312" w:hAnsi="宋体" w:eastAsia="仿宋_GB2312" w:cs="宋体"/>
          <w:kern w:val="2"/>
          <w:sz w:val="32"/>
          <w:szCs w:val="32"/>
        </w:rPr>
        <w:t>g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，粳米100g。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制作方法：山楂冲洗干净，煮水取汁与粳米一起熬制成粥，可加少量红糖调味，佐餐食用。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百合银耳雪梨羹（</w:t>
      </w:r>
      <w:r>
        <w:rPr>
          <w:rFonts w:ascii="楷体" w:hAnsi="楷体" w:eastAsia="楷体" w:cs="Times New Roman"/>
          <w:bCs/>
          <w:sz w:val="32"/>
          <w:szCs w:val="32"/>
        </w:rPr>
        <w:t>阴虚阳亢证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主要材料：百合</w:t>
      </w:r>
      <w:r>
        <w:rPr>
          <w:rFonts w:ascii="仿宋_GB2312" w:hAnsi="宋体" w:eastAsia="仿宋_GB2312" w:cs="宋体"/>
          <w:kern w:val="2"/>
          <w:sz w:val="32"/>
          <w:szCs w:val="32"/>
        </w:rPr>
        <w:t>10g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，银耳</w:t>
      </w:r>
      <w:r>
        <w:rPr>
          <w:rFonts w:ascii="仿宋_GB2312" w:hAnsi="宋体" w:eastAsia="仿宋_GB2312" w:cs="宋体"/>
          <w:kern w:val="2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g，雪梨</w:t>
      </w:r>
      <w:r>
        <w:rPr>
          <w:rFonts w:ascii="仿宋_GB2312" w:hAnsi="宋体" w:eastAsia="仿宋_GB2312" w:cs="宋体"/>
          <w:kern w:val="2"/>
          <w:sz w:val="32"/>
          <w:szCs w:val="32"/>
        </w:rPr>
        <w:t>25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g，枸杞子</w:t>
      </w:r>
      <w:r>
        <w:rPr>
          <w:rFonts w:ascii="仿宋_GB2312" w:hAnsi="宋体" w:eastAsia="仿宋_GB2312" w:cs="宋体"/>
          <w:kern w:val="2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制作方法：以上材料加水、冰糖适量，小火熬制为羹，佐餐食用。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乌鸡菌汤（</w:t>
      </w:r>
      <w:r>
        <w:rPr>
          <w:rFonts w:ascii="楷体" w:hAnsi="楷体" w:eastAsia="楷体" w:cs="Times New Roman"/>
          <w:bCs/>
          <w:sz w:val="32"/>
          <w:szCs w:val="32"/>
        </w:rPr>
        <w:t>肾精不足证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主要材料：乌鸡1只，木耳、香菇各30g，枸杞子15g。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制作方法：以上材料加适量水同煮，小火煮1小时，熬至浓汤，佐餐分次食用。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莲子百合枣羹（</w:t>
      </w:r>
      <w:r>
        <w:rPr>
          <w:rFonts w:ascii="楷体" w:hAnsi="楷体" w:eastAsia="楷体" w:cs="Times New Roman"/>
          <w:bCs/>
          <w:sz w:val="32"/>
          <w:szCs w:val="32"/>
        </w:rPr>
        <w:t>气血两虚证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主要材料：莲子1</w:t>
      </w:r>
      <w:r>
        <w:rPr>
          <w:rFonts w:ascii="仿宋_GB2312" w:hAnsi="宋体" w:eastAsia="仿宋_GB2312" w:cs="宋体"/>
          <w:kern w:val="2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g，百合12g，大枣5枚，糯米5</w:t>
      </w:r>
      <w:r>
        <w:rPr>
          <w:rFonts w:ascii="仿宋_GB2312" w:hAnsi="宋体" w:eastAsia="仿宋_GB2312" w:cs="宋体"/>
          <w:kern w:val="2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制作方法：以上材料加水同煮，成粥后加入少量冰糖，佐餐食用。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阿胶鸡蛋汤（</w:t>
      </w:r>
      <w:r>
        <w:rPr>
          <w:rFonts w:ascii="楷体" w:hAnsi="楷体" w:eastAsia="楷体" w:cs="Times New Roman"/>
          <w:bCs/>
          <w:sz w:val="32"/>
          <w:szCs w:val="32"/>
        </w:rPr>
        <w:t>冲任失调证</w:t>
      </w:r>
      <w:r>
        <w:rPr>
          <w:rFonts w:hint="eastAsia" w:ascii="楷体" w:hAnsi="楷体" w:eastAsia="楷体" w:cs="Times New Roman"/>
          <w:bCs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主要材料：鸡蛋1个，阿胶6g。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left="0" w:firstLine="640" w:firstLineChars="200"/>
        <w:textAlignment w:val="auto"/>
        <w:rPr>
          <w:rFonts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制作方法：用清水加热化开阿胶，然后打入鸡蛋，搅拌均匀，加热煮成蛋花汤，出锅前加盐调味，佐餐食用。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outlineLvl w:val="1"/>
        <w:rPr>
          <w:rFonts w:ascii="楷体" w:hAnsi="楷体" w:eastAsia="楷体" w:cs="Times New Roman"/>
          <w:bCs/>
          <w:sz w:val="32"/>
          <w:szCs w:val="32"/>
        </w:rPr>
      </w:pPr>
      <w:bookmarkStart w:id="5" w:name="_Toc124866881"/>
      <w:r>
        <w:rPr>
          <w:rFonts w:hint="eastAsia" w:ascii="楷体" w:hAnsi="楷体" w:eastAsia="楷体" w:cs="Times New Roman"/>
          <w:bCs/>
          <w:sz w:val="32"/>
          <w:szCs w:val="32"/>
        </w:rPr>
        <w:t>吃动平衡，健康体重。</w:t>
      </w:r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推荐将体重维持在健康范围内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_GB2312" w:hAnsi="Times New Roman" w:eastAsia="仿宋_GB2312" w:cs="Times New Roman"/>
          <w:sz w:val="32"/>
          <w:szCs w:val="32"/>
        </w:rPr>
        <w:t>体质指数（BMI）在 18.5～23.9kg/m</w:t>
      </w:r>
      <w:r>
        <w:rPr>
          <w:rFonts w:ascii="仿宋_GB2312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（65 岁以上老年人可适当增加）；男性腰围 ＜85cm，女性腰围＜80cm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建议所有超重和肥胖高血压患者减重。控制体重，包括控制能量摄入和增加身体活动。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outlineLvl w:val="1"/>
        <w:rPr>
          <w:rFonts w:ascii="楷体" w:hAnsi="楷体" w:eastAsia="楷体" w:cs="Times New Roman"/>
          <w:bCs/>
          <w:sz w:val="32"/>
          <w:szCs w:val="32"/>
        </w:rPr>
      </w:pPr>
      <w:bookmarkStart w:id="6" w:name="_Toc124866882"/>
      <w:r>
        <w:rPr>
          <w:rFonts w:hint="eastAsia" w:ascii="楷体" w:hAnsi="楷体" w:eastAsia="楷体" w:cs="Times New Roman"/>
          <w:bCs/>
          <w:sz w:val="32"/>
          <w:szCs w:val="32"/>
        </w:rPr>
        <w:t>戒烟限酒，心理平衡。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不吸烟，彻底戒烟，避免被动吸烟。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不饮或限制饮酒。减轻精神压力，保持心理平衡。规律作息，保证充足睡眠，不熬夜。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outlineLvl w:val="1"/>
        <w:rPr>
          <w:rFonts w:ascii="楷体" w:hAnsi="楷体" w:eastAsia="楷体" w:cs="Times New Roman"/>
          <w:bCs/>
          <w:sz w:val="32"/>
          <w:szCs w:val="32"/>
        </w:rPr>
      </w:pPr>
      <w:bookmarkStart w:id="7" w:name="_Toc124866883"/>
      <w:r>
        <w:rPr>
          <w:rFonts w:hint="eastAsia" w:ascii="楷体" w:hAnsi="楷体" w:eastAsia="楷体" w:cs="Times New Roman"/>
          <w:bCs/>
          <w:sz w:val="32"/>
          <w:szCs w:val="32"/>
        </w:rPr>
        <w:t>监测血压，自我管理。</w:t>
      </w:r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定期监测血压，了解血压数值及达标状态，遵医嘱进行生活方式干预，坚持长期治疗，自我管理。根据患者的心血管总体风险及血压水平</w:t>
      </w:r>
      <w:r>
        <w:rPr>
          <w:rFonts w:ascii="仿宋_GB2312" w:hAnsi="Times New Roman" w:eastAsia="仿宋_GB2312" w:cs="Times New Roman"/>
          <w:sz w:val="32"/>
          <w:szCs w:val="32"/>
        </w:rPr>
        <w:t>进行随诊。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不同地区春季食谱示例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不同地区饮食习惯有所不同，《指南》参考不同地区饮食实践，融合食药物质和传统食养方案，给出了七大地区四季食谱示例（共8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天食谱）。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以下春季食谱适合轻身体活动水平的成人高血压患者，一天食谱的能量在</w:t>
      </w:r>
      <w:r>
        <w:rPr>
          <w:rFonts w:ascii="仿宋_GB2312" w:hAnsi="宋体" w:eastAsia="仿宋_GB2312"/>
          <w:sz w:val="32"/>
          <w:szCs w:val="32"/>
        </w:rPr>
        <w:t>1600～2000kcal范围，</w:t>
      </w:r>
      <w:r>
        <w:rPr>
          <w:rFonts w:hint="eastAsia" w:ascii="仿宋_GB2312" w:hAnsi="宋体" w:eastAsia="仿宋_GB2312"/>
          <w:sz w:val="32"/>
          <w:szCs w:val="32"/>
        </w:rPr>
        <w:t>钠＜</w:t>
      </w:r>
      <w:r>
        <w:rPr>
          <w:rFonts w:ascii="仿宋_GB2312" w:hAnsi="宋体" w:eastAsia="仿宋_GB2312"/>
          <w:sz w:val="32"/>
          <w:szCs w:val="32"/>
        </w:rPr>
        <w:t>2000mg，钾＞2500mg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>可结合</w:t>
      </w:r>
      <w:r>
        <w:rPr>
          <w:rFonts w:hint="eastAsia" w:ascii="仿宋_GB2312" w:hAnsi="宋体" w:eastAsia="仿宋_GB2312"/>
          <w:sz w:val="32"/>
          <w:szCs w:val="32"/>
        </w:rPr>
        <w:t>患者</w:t>
      </w:r>
      <w:r>
        <w:rPr>
          <w:rFonts w:ascii="仿宋_GB2312" w:hAnsi="宋体" w:eastAsia="仿宋_GB2312"/>
          <w:sz w:val="32"/>
          <w:szCs w:val="32"/>
        </w:rPr>
        <w:t>活动量及其他因素合理调整</w:t>
      </w:r>
      <w:r>
        <w:rPr>
          <w:rFonts w:hint="eastAsia" w:ascii="仿宋_GB2312" w:hAnsi="宋体" w:eastAsia="仿宋_GB2312"/>
          <w:sz w:val="32"/>
          <w:szCs w:val="32"/>
        </w:rPr>
        <w:t>能量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更多食谱示例见《指南》。</w:t>
      </w:r>
    </w:p>
    <w:p>
      <w:pPr>
        <w:pStyle w:val="13"/>
        <w:widowControl/>
        <w:numPr>
          <w:ilvl w:val="0"/>
          <w:numId w:val="4"/>
        </w:numPr>
        <w:adjustRightInd w:val="0"/>
        <w:snapToGrid w:val="0"/>
        <w:spacing w:line="560" w:lineRule="exact"/>
        <w:ind w:firstLineChars="0"/>
        <w:outlineLvl w:val="1"/>
        <w:rPr>
          <w:rFonts w:ascii="楷体" w:hAnsi="楷体" w:eastAsia="楷体" w:cs="Times New Roman"/>
          <w:b/>
          <w:sz w:val="32"/>
          <w:szCs w:val="32"/>
        </w:rPr>
      </w:pPr>
      <w:bookmarkStart w:id="8" w:name="_Toc124866890"/>
      <w:r>
        <w:rPr>
          <w:rFonts w:ascii="楷体" w:hAnsi="楷体" w:eastAsia="楷体" w:cs="Times New Roman"/>
          <w:b/>
          <w:sz w:val="32"/>
          <w:szCs w:val="32"/>
        </w:rPr>
        <w:t>北</w:t>
      </w:r>
      <w:bookmarkEnd w:id="8"/>
      <w:r>
        <w:rPr>
          <w:rFonts w:hint="eastAsia" w:ascii="楷体" w:hAnsi="楷体" w:eastAsia="楷体" w:cs="Times New Roman"/>
          <w:b/>
          <w:sz w:val="32"/>
          <w:szCs w:val="32"/>
        </w:rPr>
        <w:t>方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早餐</w:t>
            </w:r>
          </w:p>
        </w:tc>
        <w:tc>
          <w:tcPr>
            <w:tcW w:w="70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荞面饼（面粉50g，荞麦面粉30g，鸡蛋50g）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黑豆豆浆（黑豆50g）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洋葱拌黄瓜（洋葱50g，黄瓜50g）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凉拌莴笋丝（莴笋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100g）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中餐</w:t>
            </w:r>
          </w:p>
        </w:tc>
        <w:tc>
          <w:tcPr>
            <w:tcW w:w="70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二米饭（大米50g，小米50g）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手把肉（羊肉25g）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蒜蓉西兰花（西兰花150g）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紫菜木耳鲫鱼汤（鲫鱼50g，木耳30g，紫菜10g）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加餐</w:t>
            </w:r>
          </w:p>
        </w:tc>
        <w:tc>
          <w:tcPr>
            <w:tcW w:w="70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鸭梨（200g）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晚餐</w:t>
            </w:r>
          </w:p>
        </w:tc>
        <w:tc>
          <w:tcPr>
            <w:tcW w:w="70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玉米面发糕（面粉50g，玉米面50g）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肉丝炒蒜苔（猪瘦肉25g，蒜苔100g）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土豆丝炒绿豆芽（绿豆芽100g，土豆50g，韭菜50g）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大枣酸枣仁汤（酸枣仁*20g，大枣*20g）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油、盐</w:t>
            </w:r>
          </w:p>
        </w:tc>
        <w:tc>
          <w:tcPr>
            <w:tcW w:w="700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全天总用量：植物油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g，盐3g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注：*为食谱中用到的食药物质：酸枣仁、大枣。</w:t>
            </w:r>
          </w:p>
        </w:tc>
      </w:tr>
    </w:tbl>
    <w:p>
      <w:pPr>
        <w:pStyle w:val="13"/>
        <w:widowControl/>
        <w:numPr>
          <w:ilvl w:val="0"/>
          <w:numId w:val="4"/>
        </w:numPr>
        <w:adjustRightInd w:val="0"/>
        <w:snapToGrid w:val="0"/>
        <w:spacing w:line="560" w:lineRule="exact"/>
        <w:ind w:firstLineChars="0"/>
        <w:outlineLvl w:val="1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西</w:t>
      </w:r>
      <w:r>
        <w:rPr>
          <w:rFonts w:hint="eastAsia" w:ascii="楷体" w:hAnsi="楷体" w:eastAsia="楷体" w:cs="Times New Roman"/>
          <w:b/>
          <w:sz w:val="32"/>
          <w:szCs w:val="32"/>
        </w:rPr>
        <w:t>部</w:t>
      </w:r>
    </w:p>
    <w:tbl>
      <w:tblPr>
        <w:tblStyle w:val="7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早餐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大枣莲子粥（糯米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30g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，莲子*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10g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，大枣*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10g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菜包子（白菜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50g，面粉50g）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煮鸡蛋（鸡蛋50g）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加餐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牛奶（200ml）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中餐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杂粮馒头（玉米面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0g，荞麦面粉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0g，面粉20g）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豆芽炒粉条（黄豆芽80g，粉条60g）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冬瓜炖排骨（冬瓜100g，猪排骨40g，海带30g）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加餐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葡萄（</w:t>
            </w:r>
            <w:r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  <w:t>100g），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西柚（150g）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晚餐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搅团（油菜50g，土豆20g，蒜苗20g，韭菜20g，荞麦面粉60g，面粉20g）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虾皮萝卜汤（白萝卜50g，虾皮5g）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莴笋炒牛肉（莴笋60g，牛肉40g）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油、盐</w:t>
            </w:r>
          </w:p>
        </w:tc>
        <w:tc>
          <w:tcPr>
            <w:tcW w:w="67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全天总用量：植物油25g，盐4g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  <w:t>*为食谱中用到的食药物质：莲子、大枣。</w:t>
            </w:r>
          </w:p>
        </w:tc>
      </w:tr>
    </w:tbl>
    <w:p>
      <w:pPr>
        <w:pStyle w:val="13"/>
        <w:widowControl/>
        <w:numPr>
          <w:ilvl w:val="0"/>
          <w:numId w:val="4"/>
        </w:numPr>
        <w:adjustRightInd w:val="0"/>
        <w:snapToGrid w:val="0"/>
        <w:spacing w:line="560" w:lineRule="exact"/>
        <w:ind w:firstLineChars="0"/>
        <w:outlineLvl w:val="1"/>
        <w:rPr>
          <w:rFonts w:ascii="楷体" w:hAnsi="楷体" w:eastAsia="楷体" w:cs="Times New Roman"/>
          <w:b/>
          <w:sz w:val="32"/>
          <w:szCs w:val="32"/>
        </w:rPr>
      </w:pPr>
      <w:bookmarkStart w:id="9" w:name="_Toc124866896"/>
      <w:r>
        <w:rPr>
          <w:rFonts w:ascii="楷体" w:hAnsi="楷体" w:eastAsia="楷体" w:cs="Times New Roman"/>
          <w:b/>
          <w:sz w:val="32"/>
          <w:szCs w:val="32"/>
        </w:rPr>
        <w:t>南</w:t>
      </w:r>
      <w:bookmarkEnd w:id="9"/>
      <w:r>
        <w:rPr>
          <w:rFonts w:hint="eastAsia" w:ascii="楷体" w:hAnsi="楷体" w:eastAsia="楷体" w:cs="Times New Roman"/>
          <w:b/>
          <w:sz w:val="32"/>
          <w:szCs w:val="32"/>
        </w:rPr>
        <w:t>方</w:t>
      </w:r>
    </w:p>
    <w:tbl>
      <w:tblPr>
        <w:tblStyle w:val="7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早餐</w:t>
            </w:r>
          </w:p>
        </w:tc>
        <w:tc>
          <w:tcPr>
            <w:tcW w:w="7230" w:type="dxa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瘦肉粥（猪瘦肉50g，小米10g，大米60g，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生姜*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10g）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蒸山药（山药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*150g）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低脂牛奶（200ml）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中餐</w:t>
            </w:r>
          </w:p>
        </w:tc>
        <w:tc>
          <w:tcPr>
            <w:tcW w:w="7230" w:type="dxa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紫米饭（紫米20g，大米60g）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牛肉炖土豆（牛肉50g，土豆100g，西红柿50g）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凉拌菠菜（菠菜200g）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无花果老鸭汤（无花果30g，鸭肉100g，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生姜*10g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晚餐</w:t>
            </w:r>
          </w:p>
        </w:tc>
        <w:tc>
          <w:tcPr>
            <w:tcW w:w="7230" w:type="dxa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薏苡仁饭（薏苡仁*20g，大米60g）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清炒西兰花（西兰花150g，胡萝卜50g）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鸡丝芦笋（鸡胸肉50g，芦笋100g）</w:t>
            </w:r>
          </w:p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裙带菜鸡蛋豆腐汤（裙带菜10g，鸡蛋</w:t>
            </w:r>
            <w:r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g，豆腐100g）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油、盐</w:t>
            </w:r>
          </w:p>
        </w:tc>
        <w:tc>
          <w:tcPr>
            <w:tcW w:w="7230" w:type="dxa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全天总用量：植物油25g，盐3g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6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等线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4"/>
                <w:szCs w:val="24"/>
              </w:rPr>
              <w:t>注：*为食谱中用到的食药物质：如生姜、山药、薏苡仁。</w:t>
            </w:r>
          </w:p>
        </w:tc>
      </w:tr>
    </w:tbl>
    <w:p>
      <w:pPr>
        <w:ind w:firstLine="420" w:firstLineChars="200"/>
      </w:pPr>
    </w:p>
    <w:p>
      <w:pPr>
        <w:widowControl/>
        <w:shd w:val="clear" w:color="auto" w:fill="FFFFFF"/>
        <w:spacing w:before="60" w:after="6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更多食养建议详见《成人高血压食养指南（</w:t>
      </w:r>
      <w:r>
        <w:rPr>
          <w:rFonts w:ascii="仿宋_GB2312" w:hAnsi="Times New Roman" w:eastAsia="仿宋_GB2312" w:cs="Times New Roman"/>
          <w:sz w:val="32"/>
          <w:szCs w:val="32"/>
        </w:rPr>
        <w:t>2023年版）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lvlText w:val="%1、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0E"/>
    <w:multiLevelType w:val="multilevel"/>
    <w:tmpl w:val="0000000E"/>
    <w:lvl w:ilvl="0" w:tentative="0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3">
    <w:nsid w:val="0000001C"/>
    <w:multiLevelType w:val="multilevel"/>
    <w:tmpl w:val="0000001C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WJhYzIzNDg5MjUzZDUwMTc2NjkxMDkwYjc5OTYifQ=="/>
  </w:docVars>
  <w:rsids>
    <w:rsidRoot w:val="00BF025A"/>
    <w:rsid w:val="00032DA7"/>
    <w:rsid w:val="000E2EED"/>
    <w:rsid w:val="000F0CAF"/>
    <w:rsid w:val="0015059F"/>
    <w:rsid w:val="002135A2"/>
    <w:rsid w:val="0022303C"/>
    <w:rsid w:val="0022359F"/>
    <w:rsid w:val="0022432F"/>
    <w:rsid w:val="00225470"/>
    <w:rsid w:val="0024170C"/>
    <w:rsid w:val="002B7B02"/>
    <w:rsid w:val="003227DB"/>
    <w:rsid w:val="00367412"/>
    <w:rsid w:val="004D21AC"/>
    <w:rsid w:val="00527B61"/>
    <w:rsid w:val="00556B29"/>
    <w:rsid w:val="005D1A32"/>
    <w:rsid w:val="005D573E"/>
    <w:rsid w:val="006C64F2"/>
    <w:rsid w:val="006E76C5"/>
    <w:rsid w:val="00730D6A"/>
    <w:rsid w:val="007607B0"/>
    <w:rsid w:val="008437C3"/>
    <w:rsid w:val="00856389"/>
    <w:rsid w:val="008C58F9"/>
    <w:rsid w:val="008C6713"/>
    <w:rsid w:val="008D5AAF"/>
    <w:rsid w:val="00901359"/>
    <w:rsid w:val="00943BF0"/>
    <w:rsid w:val="009B4CE8"/>
    <w:rsid w:val="00A139B5"/>
    <w:rsid w:val="00A705D5"/>
    <w:rsid w:val="00AA628A"/>
    <w:rsid w:val="00AC1ACD"/>
    <w:rsid w:val="00B37175"/>
    <w:rsid w:val="00B44C87"/>
    <w:rsid w:val="00B65D61"/>
    <w:rsid w:val="00B772DC"/>
    <w:rsid w:val="00B77F76"/>
    <w:rsid w:val="00BF025A"/>
    <w:rsid w:val="00C769A7"/>
    <w:rsid w:val="00D1769C"/>
    <w:rsid w:val="00D60447"/>
    <w:rsid w:val="00DD2806"/>
    <w:rsid w:val="00DE303B"/>
    <w:rsid w:val="00E12E75"/>
    <w:rsid w:val="00E143A8"/>
    <w:rsid w:val="00E235B8"/>
    <w:rsid w:val="00E32611"/>
    <w:rsid w:val="00F07542"/>
    <w:rsid w:val="00F63E7D"/>
    <w:rsid w:val="00F904A4"/>
    <w:rsid w:val="00FB70C1"/>
    <w:rsid w:val="24B672B1"/>
    <w:rsid w:val="38766393"/>
    <w:rsid w:val="48672CB7"/>
    <w:rsid w:val="71661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仿宋" w:hAnsi="仿宋" w:eastAsia="仿宋_GB2312"/>
      <w:sz w:val="30"/>
    </w:rPr>
  </w:style>
  <w:style w:type="character" w:customStyle="1" w:styleId="14">
    <w:name w:val="正文文本 字符"/>
    <w:basedOn w:val="8"/>
    <w:qFormat/>
    <w:uiPriority w:val="99"/>
  </w:style>
  <w:style w:type="character" w:customStyle="1" w:styleId="15">
    <w:name w:val="正文文本 字符1"/>
    <w:link w:val="2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2278</Words>
  <Characters>2557</Characters>
  <Lines>19</Lines>
  <Paragraphs>5</Paragraphs>
  <TotalTime>7</TotalTime>
  <ScaleCrop>false</ScaleCrop>
  <LinksUpToDate>false</LinksUpToDate>
  <CharactersWithSpaces>2565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2023-04-07T10:55:00Z</dcterms:created>
  <dc:creator>丁彩翠</dc:creator>
  <cp:lastModifiedBy>summer</cp:lastModifiedBy>
  <dcterms:modified xsi:type="dcterms:W3CDTF">2023-05-17T07:39:37Z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1a227bd1865442f386308ee5c76528b0</vt:lpwstr>
  </property>
  <property fmtid="{D5CDD505-2E9C-101B-9397-08002B2CF9AE}" pid="3" name="KSOProductBuildVer">
    <vt:lpwstr>2052-11.1.0.14309</vt:lpwstr>
  </property>
</Properties>
</file>