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烟台山医院</w:t>
      </w:r>
      <w:r>
        <w:rPr>
          <w:rFonts w:hint="eastAsia" w:ascii="宋体" w:hAnsi="宋体" w:eastAsia="宋体"/>
          <w:b/>
          <w:sz w:val="32"/>
          <w:szCs w:val="32"/>
          <w:lang w:val="en-US" w:eastAsia="zh-CN"/>
        </w:rPr>
        <w:t>冷水复温仪</w:t>
      </w:r>
      <w:r>
        <w:rPr>
          <w:rFonts w:hint="eastAsia" w:ascii="宋体" w:hAnsi="宋体" w:eastAsia="宋体"/>
          <w:b/>
          <w:sz w:val="32"/>
          <w:szCs w:val="32"/>
        </w:rPr>
        <w:t>、</w:t>
      </w:r>
      <w:r>
        <w:rPr>
          <w:rFonts w:hint="eastAsia" w:ascii="宋体" w:hAnsi="宋体" w:eastAsia="宋体"/>
          <w:b/>
          <w:sz w:val="32"/>
          <w:szCs w:val="32"/>
          <w:lang w:val="en-US" w:eastAsia="zh-CN"/>
        </w:rPr>
        <w:t>远红外治疗仪</w:t>
      </w:r>
      <w:r>
        <w:rPr>
          <w:rFonts w:hint="eastAsia" w:ascii="宋体" w:hAnsi="宋体" w:eastAsia="宋体"/>
          <w:b/>
          <w:sz w:val="32"/>
          <w:szCs w:val="32"/>
        </w:rPr>
        <w:t>等医疗设备采购招标公告</w:t>
      </w:r>
    </w:p>
    <w:p>
      <w:pPr>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一、招标人:烟台市烟台山医院</w:t>
      </w:r>
    </w:p>
    <w:p>
      <w:pPr>
        <w:snapToGrid w:val="0"/>
        <w:spacing w:line="480" w:lineRule="exact"/>
        <w:ind w:left="420" w:leftChars="200" w:firstLine="140" w:firstLineChars="50"/>
        <w:rPr>
          <w:rFonts w:ascii="仿宋" w:hAnsi="仿宋" w:eastAsia="仿宋" w:cs="宋体"/>
          <w:kern w:val="0"/>
          <w:sz w:val="28"/>
          <w:szCs w:val="28"/>
        </w:rPr>
      </w:pPr>
      <w:r>
        <w:rPr>
          <w:rFonts w:ascii="仿宋" w:hAnsi="仿宋" w:eastAsia="仿宋" w:cs="宋体"/>
          <w:kern w:val="0"/>
          <w:sz w:val="28"/>
          <w:szCs w:val="28"/>
        </w:rPr>
        <w:t>地址：</w:t>
      </w:r>
      <w:r>
        <w:rPr>
          <w:rFonts w:hint="eastAsia" w:ascii="仿宋" w:hAnsi="仿宋" w:eastAsia="仿宋" w:cs="宋体"/>
          <w:kern w:val="0"/>
          <w:sz w:val="28"/>
          <w:szCs w:val="28"/>
        </w:rPr>
        <w:t>烟台市莱山区科技大道10087号</w:t>
      </w:r>
    </w:p>
    <w:p>
      <w:pPr>
        <w:snapToGrid w:val="0"/>
        <w:spacing w:line="480" w:lineRule="exact"/>
        <w:ind w:left="420" w:leftChars="200" w:firstLine="140" w:firstLineChars="50"/>
        <w:rPr>
          <w:rFonts w:ascii="仿宋" w:hAnsi="仿宋" w:eastAsia="仿宋" w:cs="宋体"/>
          <w:kern w:val="0"/>
          <w:sz w:val="28"/>
          <w:szCs w:val="28"/>
        </w:rPr>
      </w:pPr>
      <w:r>
        <w:rPr>
          <w:rFonts w:ascii="仿宋" w:hAnsi="仿宋" w:eastAsia="仿宋" w:cs="宋体"/>
          <w:kern w:val="0"/>
          <w:sz w:val="28"/>
          <w:szCs w:val="28"/>
        </w:rPr>
        <w:t>联系方式：</w:t>
      </w:r>
      <w:bookmarkStart w:id="0" w:name="_Hlk24922394"/>
      <w:r>
        <w:rPr>
          <w:rFonts w:ascii="仿宋" w:hAnsi="仿宋" w:eastAsia="仿宋" w:cs="宋体"/>
          <w:kern w:val="0"/>
          <w:sz w:val="28"/>
          <w:szCs w:val="28"/>
        </w:rPr>
        <w:t>0535-6861001</w:t>
      </w:r>
      <w:bookmarkEnd w:id="0"/>
    </w:p>
    <w:p>
      <w:pPr>
        <w:snapToGrid w:val="0"/>
        <w:spacing w:line="480" w:lineRule="exact"/>
        <w:rPr>
          <w:rFonts w:ascii="仿宋" w:hAnsi="仿宋" w:eastAsia="仿宋" w:cs="宋体"/>
          <w:kern w:val="0"/>
          <w:sz w:val="28"/>
          <w:szCs w:val="28"/>
        </w:rPr>
      </w:pPr>
      <w:r>
        <w:rPr>
          <w:rFonts w:hint="eastAsia" w:ascii="仿宋" w:hAnsi="仿宋" w:eastAsia="仿宋" w:cs="宋体"/>
          <w:kern w:val="0"/>
          <w:sz w:val="28"/>
          <w:szCs w:val="28"/>
        </w:rPr>
        <w:t>二、项目名称：烟台山医院医疗设备1批（冷水复温仪、视频转播系统、</w:t>
      </w:r>
      <w:r>
        <w:rPr>
          <w:rFonts w:hint="eastAsia" w:ascii="仿宋" w:hAnsi="仿宋" w:eastAsia="仿宋" w:cs="宋体"/>
          <w:kern w:val="0"/>
          <w:sz w:val="28"/>
          <w:szCs w:val="28"/>
          <w:lang w:val="en-US" w:eastAsia="zh-CN"/>
        </w:rPr>
        <w:t>远</w:t>
      </w:r>
      <w:bookmarkStart w:id="1" w:name="_GoBack"/>
      <w:bookmarkEnd w:id="1"/>
      <w:r>
        <w:rPr>
          <w:rFonts w:hint="eastAsia" w:ascii="仿宋" w:hAnsi="仿宋" w:eastAsia="仿宋" w:cs="宋体"/>
          <w:kern w:val="0"/>
          <w:sz w:val="28"/>
          <w:szCs w:val="28"/>
        </w:rPr>
        <w:t>红外治疗仪、紫外线治疗车、牙科种植机）</w:t>
      </w:r>
    </w:p>
    <w:p>
      <w:pPr>
        <w:snapToGrid w:val="0"/>
        <w:spacing w:line="480" w:lineRule="exact"/>
        <w:ind w:left="420" w:leftChars="200" w:firstLine="140" w:firstLineChars="50"/>
        <w:rPr>
          <w:rFonts w:hint="eastAsia" w:ascii="仿宋" w:hAnsi="仿宋" w:eastAsia="仿宋" w:cs="宋体"/>
          <w:kern w:val="0"/>
          <w:sz w:val="28"/>
          <w:szCs w:val="28"/>
          <w:lang w:val="en-US" w:eastAsia="zh-CN"/>
        </w:rPr>
      </w:pPr>
      <w:r>
        <w:rPr>
          <w:rFonts w:ascii="仿宋" w:hAnsi="仿宋" w:eastAsia="仿宋" w:cs="宋体"/>
          <w:kern w:val="0"/>
          <w:sz w:val="28"/>
          <w:szCs w:val="28"/>
        </w:rPr>
        <w:t>项目编号：</w:t>
      </w:r>
      <w:r>
        <w:rPr>
          <w:rFonts w:hint="eastAsia" w:ascii="仿宋" w:hAnsi="仿宋" w:eastAsia="仿宋" w:cs="宋体"/>
          <w:kern w:val="0"/>
          <w:sz w:val="28"/>
          <w:szCs w:val="28"/>
        </w:rPr>
        <w:t>20220</w:t>
      </w:r>
      <w:r>
        <w:rPr>
          <w:rFonts w:hint="eastAsia" w:ascii="仿宋" w:hAnsi="仿宋" w:eastAsia="仿宋" w:cs="宋体"/>
          <w:kern w:val="0"/>
          <w:sz w:val="28"/>
          <w:szCs w:val="28"/>
          <w:lang w:val="en-US" w:eastAsia="zh-CN"/>
        </w:rPr>
        <w:t>7</w:t>
      </w:r>
      <w:r>
        <w:rPr>
          <w:rFonts w:hint="eastAsia" w:ascii="仿宋" w:hAnsi="仿宋" w:eastAsia="仿宋" w:cs="宋体"/>
          <w:kern w:val="0"/>
          <w:sz w:val="28"/>
          <w:szCs w:val="28"/>
        </w:rPr>
        <w:t>00</w:t>
      </w:r>
      <w:r>
        <w:rPr>
          <w:rFonts w:hint="eastAsia" w:ascii="仿宋" w:hAnsi="仿宋" w:eastAsia="仿宋" w:cs="宋体"/>
          <w:kern w:val="0"/>
          <w:sz w:val="28"/>
          <w:szCs w:val="28"/>
          <w:lang w:val="en-US" w:eastAsia="zh-CN"/>
        </w:rPr>
        <w:t>4</w:t>
      </w:r>
    </w:p>
    <w:p>
      <w:pPr>
        <w:snapToGrid w:val="0"/>
        <w:spacing w:line="480" w:lineRule="exact"/>
        <w:ind w:left="420" w:leftChars="200" w:firstLine="140" w:firstLineChars="50"/>
        <w:rPr>
          <w:rFonts w:ascii="仿宋" w:hAnsi="仿宋" w:eastAsia="仿宋" w:cs="宋体"/>
          <w:kern w:val="0"/>
          <w:sz w:val="28"/>
          <w:szCs w:val="28"/>
        </w:rPr>
      </w:pPr>
      <w:r>
        <w:rPr>
          <w:rFonts w:ascii="仿宋" w:hAnsi="仿宋" w:eastAsia="仿宋" w:cs="宋体"/>
          <w:kern w:val="0"/>
          <w:sz w:val="28"/>
          <w:szCs w:val="28"/>
        </w:rPr>
        <w:t xml:space="preserve">项目分包情况： </w:t>
      </w:r>
    </w:p>
    <w:tbl>
      <w:tblPr>
        <w:tblStyle w:val="7"/>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2" w:type="dxa"/>
          <w:left w:w="12" w:type="dxa"/>
          <w:bottom w:w="12" w:type="dxa"/>
          <w:right w:w="12" w:type="dxa"/>
        </w:tblCellMar>
      </w:tblPr>
      <w:tblGrid>
        <w:gridCol w:w="421"/>
        <w:gridCol w:w="1559"/>
        <w:gridCol w:w="710"/>
        <w:gridCol w:w="848"/>
        <w:gridCol w:w="58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rHeight w:val="593" w:hRule="atLeast"/>
          <w:jc w:val="center"/>
        </w:trPr>
        <w:tc>
          <w:tcPr>
            <w:tcW w:w="223"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标包</w:t>
            </w:r>
          </w:p>
        </w:tc>
        <w:tc>
          <w:tcPr>
            <w:tcW w:w="826" w:type="pct"/>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项目名称</w:t>
            </w:r>
          </w:p>
        </w:tc>
        <w:tc>
          <w:tcPr>
            <w:tcW w:w="376" w:type="pct"/>
            <w:tcBorders>
              <w:top w:val="outset" w:color="auto" w:sz="6" w:space="0"/>
              <w:left w:val="single" w:color="auto" w:sz="4" w:space="0"/>
              <w:bottom w:val="outset" w:color="auto" w:sz="6" w:space="0"/>
              <w:right w:val="single" w:color="auto" w:sz="4"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数量</w:t>
            </w:r>
          </w:p>
        </w:tc>
        <w:tc>
          <w:tcPr>
            <w:tcW w:w="449" w:type="pct"/>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预算万元</w:t>
            </w:r>
          </w:p>
        </w:tc>
        <w:tc>
          <w:tcPr>
            <w:tcW w:w="3124"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投标人资格要求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rHeight w:val="1417" w:hRule="atLeast"/>
          <w:jc w:val="center"/>
        </w:trPr>
        <w:tc>
          <w:tcPr>
            <w:tcW w:w="223" w:type="pct"/>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1</w:t>
            </w:r>
          </w:p>
        </w:tc>
        <w:tc>
          <w:tcPr>
            <w:tcW w:w="155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bottom"/>
              <w:rPr>
                <w:rFonts w:ascii="宋体" w:hAnsi="宋体" w:eastAsia="宋体" w:cs="宋体"/>
                <w:b w:val="0"/>
                <w:bCs w:val="0"/>
                <w:color w:val="auto"/>
                <w:sz w:val="22"/>
              </w:rPr>
            </w:pPr>
            <w:r>
              <w:rPr>
                <w:rFonts w:hint="eastAsia" w:ascii="宋体" w:hAnsi="宋体" w:eastAsia="宋体" w:cs="宋体"/>
                <w:b w:val="0"/>
                <w:bCs w:val="0"/>
                <w:i w:val="0"/>
                <w:iCs w:val="0"/>
                <w:color w:val="auto"/>
                <w:kern w:val="0"/>
                <w:sz w:val="22"/>
                <w:szCs w:val="22"/>
                <w:u w:val="none"/>
                <w:lang w:val="en-US" w:eastAsia="zh-CN" w:bidi="ar"/>
              </w:rPr>
              <w:t>冷水复温仪</w:t>
            </w:r>
          </w:p>
        </w:tc>
        <w:tc>
          <w:tcPr>
            <w:tcW w:w="376" w:type="pct"/>
            <w:tcBorders>
              <w:top w:val="outset" w:color="auto" w:sz="6" w:space="0"/>
              <w:left w:val="outset" w:color="auto" w:sz="6" w:space="0"/>
              <w:bottom w:val="outset" w:color="auto" w:sz="6" w:space="0"/>
              <w:right w:val="single" w:color="auto" w:sz="4" w:space="0"/>
            </w:tcBorders>
            <w:vAlign w:val="center"/>
          </w:tcPr>
          <w:p>
            <w:pPr>
              <w:widowControl/>
              <w:jc w:val="center"/>
              <w:textAlignment w:val="center"/>
              <w:rPr>
                <w:rFonts w:hint="eastAsia" w:ascii="宋体" w:hAnsi="宋体" w:eastAsia="宋体" w:cs="宋体"/>
                <w:b w:val="0"/>
                <w:bCs w:val="0"/>
                <w:color w:val="auto"/>
                <w:sz w:val="22"/>
                <w:lang w:eastAsia="zh-CN"/>
              </w:rPr>
            </w:pPr>
            <w:r>
              <w:rPr>
                <w:rFonts w:hint="eastAsia" w:ascii="宋体" w:hAnsi="宋体" w:eastAsia="宋体" w:cs="宋体"/>
                <w:b w:val="0"/>
                <w:bCs w:val="0"/>
                <w:color w:val="auto"/>
                <w:kern w:val="0"/>
                <w:sz w:val="22"/>
                <w:lang w:val="en-US" w:eastAsia="zh-CN" w:bidi="ar"/>
              </w:rPr>
              <w:t>1</w:t>
            </w:r>
          </w:p>
        </w:tc>
        <w:tc>
          <w:tcPr>
            <w:tcW w:w="848"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20</w:t>
            </w:r>
          </w:p>
        </w:tc>
        <w:tc>
          <w:tcPr>
            <w:tcW w:w="3124" w:type="pct"/>
            <w:vMerge w:val="restart"/>
            <w:tcBorders>
              <w:top w:val="outset" w:color="auto" w:sz="6" w:space="0"/>
              <w:left w:val="outset" w:color="auto" w:sz="6" w:space="0"/>
              <w:right w:val="outset" w:color="auto" w:sz="6" w:space="0"/>
            </w:tcBorders>
            <w:vAlign w:val="center"/>
          </w:tcPr>
          <w:p>
            <w:pPr>
              <w:spacing w:line="360" w:lineRule="exact"/>
              <w:rPr>
                <w:rFonts w:ascii="仿宋_GB2312" w:hAnsi="宋体" w:eastAsia="仿宋_GB2312"/>
                <w:spacing w:val="-10"/>
                <w:sz w:val="24"/>
                <w:szCs w:val="24"/>
              </w:rPr>
            </w:pPr>
            <w:r>
              <w:rPr>
                <w:rFonts w:hint="eastAsia" w:ascii="仿宋_GB2312" w:hAnsi="宋体" w:eastAsia="仿宋_GB2312"/>
                <w:spacing w:val="-10"/>
                <w:sz w:val="24"/>
                <w:szCs w:val="24"/>
              </w:rPr>
              <w:t>1、在中国境内注册，具有独立法人资格，持有合法有效的营业执照；</w:t>
            </w:r>
          </w:p>
          <w:p>
            <w:pPr>
              <w:tabs>
                <w:tab w:val="left" w:pos="4276"/>
                <w:tab w:val="left" w:pos="8522"/>
              </w:tabs>
              <w:spacing w:line="360" w:lineRule="exact"/>
              <w:jc w:val="left"/>
              <w:rPr>
                <w:rFonts w:ascii="仿宋_GB2312" w:hAnsi="宋体" w:eastAsia="仿宋_GB2312"/>
                <w:spacing w:val="-10"/>
                <w:sz w:val="24"/>
                <w:szCs w:val="24"/>
              </w:rPr>
            </w:pPr>
            <w:r>
              <w:rPr>
                <w:rFonts w:hint="eastAsia" w:ascii="仿宋_GB2312" w:hAnsi="宋体" w:eastAsia="仿宋_GB2312"/>
                <w:spacing w:val="-10"/>
                <w:sz w:val="24"/>
                <w:szCs w:val="24"/>
              </w:rPr>
              <w:t>2、投标人为制造商的，应具有医疗器械生产许可证；投标人为代理商或经销商的，应具有与所投产品相对应的有效的医疗器械经营许可证（注：a所投产品属于医疗器械分类管理中第二类的产品，应提供医疗器械经营企业备案证明文件；</w:t>
            </w:r>
            <w:r>
              <w:rPr>
                <w:rFonts w:ascii="仿宋_GB2312" w:hAnsi="宋体" w:eastAsia="仿宋_GB2312"/>
                <w:spacing w:val="-10"/>
                <w:sz w:val="24"/>
                <w:szCs w:val="24"/>
              </w:rPr>
              <w:t>b</w:t>
            </w:r>
            <w:r>
              <w:rPr>
                <w:rFonts w:hint="eastAsia" w:ascii="仿宋_GB2312" w:hAnsi="宋体" w:eastAsia="仿宋_GB2312"/>
                <w:spacing w:val="-10"/>
                <w:sz w:val="24"/>
                <w:szCs w:val="24"/>
              </w:rPr>
              <w:t>所投产品属于医疗器械分类管理中第三类的产品，应提供医疗器械经营企业许可证）；</w:t>
            </w:r>
          </w:p>
          <w:p>
            <w:pPr>
              <w:spacing w:line="360" w:lineRule="exact"/>
              <w:rPr>
                <w:rFonts w:ascii="仿宋_GB2312" w:hAnsi="宋体" w:eastAsia="仿宋_GB2312"/>
                <w:spacing w:val="-10"/>
                <w:sz w:val="24"/>
                <w:szCs w:val="24"/>
              </w:rPr>
            </w:pPr>
            <w:r>
              <w:rPr>
                <w:rFonts w:hint="eastAsia" w:ascii="仿宋_GB2312" w:hAnsi="宋体" w:eastAsia="仿宋_GB2312"/>
                <w:spacing w:val="-10"/>
                <w:sz w:val="24"/>
                <w:szCs w:val="24"/>
              </w:rPr>
              <w:t>3、如所投产品为医疗设备投标人须提供所投产品的《医疗器械注册证》;</w:t>
            </w:r>
          </w:p>
          <w:p>
            <w:pPr>
              <w:spacing w:line="360" w:lineRule="exact"/>
              <w:rPr>
                <w:rFonts w:ascii="仿宋_GB2312" w:hAnsi="宋体" w:eastAsia="仿宋_GB2312"/>
                <w:spacing w:val="-10"/>
                <w:sz w:val="24"/>
                <w:szCs w:val="24"/>
              </w:rPr>
            </w:pPr>
            <w:r>
              <w:rPr>
                <w:rFonts w:hint="eastAsia" w:ascii="仿宋_GB2312" w:hAnsi="宋体" w:eastAsia="仿宋_GB2312"/>
                <w:spacing w:val="-10"/>
                <w:sz w:val="24"/>
                <w:szCs w:val="24"/>
              </w:rPr>
              <w:t>4、若为代理商或经销商，须提供所投产品制造商针对本项目的授权书（若所投产品为进口产品，须提供制造商或制造商授权的国内总代理商出具的针对本项目的唯一授权书，如授权书为国内总代理商出具的，须同时提供国内总代理商代理证明）；</w:t>
            </w:r>
          </w:p>
          <w:p>
            <w:pPr>
              <w:spacing w:line="360" w:lineRule="exact"/>
              <w:rPr>
                <w:rFonts w:ascii="仿宋_GB2312" w:hAnsi="宋体" w:eastAsia="仿宋_GB2312"/>
                <w:spacing w:val="-10"/>
                <w:sz w:val="24"/>
                <w:szCs w:val="24"/>
              </w:rPr>
            </w:pPr>
            <w:r>
              <w:rPr>
                <w:rFonts w:ascii="仿宋_GB2312" w:hAnsi="宋体" w:eastAsia="仿宋_GB2312"/>
                <w:spacing w:val="-10"/>
                <w:sz w:val="24"/>
                <w:szCs w:val="24"/>
              </w:rPr>
              <w:t>5</w:t>
            </w:r>
            <w:r>
              <w:rPr>
                <w:rFonts w:hint="eastAsia" w:ascii="仿宋_GB2312" w:hAnsi="宋体" w:eastAsia="仿宋_GB2312"/>
                <w:spacing w:val="-10"/>
                <w:sz w:val="24"/>
                <w:szCs w:val="24"/>
              </w:rPr>
              <w:t>、参加采购活动前3年内在经营活动中没有重大违法记录；</w:t>
            </w:r>
          </w:p>
          <w:p>
            <w:pPr>
              <w:spacing w:line="360" w:lineRule="exact"/>
              <w:rPr>
                <w:rFonts w:ascii="仿宋_GB2312" w:hAnsi="宋体" w:eastAsia="仿宋_GB2312"/>
                <w:spacing w:val="-10"/>
                <w:sz w:val="24"/>
                <w:szCs w:val="24"/>
              </w:rPr>
            </w:pPr>
            <w:r>
              <w:rPr>
                <w:rFonts w:ascii="仿宋_GB2312" w:hAnsi="宋体" w:eastAsia="仿宋_GB2312"/>
                <w:spacing w:val="-10"/>
                <w:sz w:val="24"/>
                <w:szCs w:val="24"/>
              </w:rPr>
              <w:t>6</w:t>
            </w:r>
            <w:r>
              <w:rPr>
                <w:rFonts w:hint="eastAsia" w:ascii="仿宋_GB2312" w:hAnsi="宋体" w:eastAsia="仿宋_GB2312"/>
                <w:spacing w:val="-10"/>
                <w:sz w:val="24"/>
                <w:szCs w:val="24"/>
              </w:rPr>
              <w:t>、具有履行合同所必需的货物和专业技术能力；</w:t>
            </w:r>
          </w:p>
          <w:p>
            <w:pPr>
              <w:spacing w:line="360" w:lineRule="exact"/>
              <w:rPr>
                <w:rFonts w:ascii="仿宋_GB2312" w:eastAsia="仿宋_GB2312"/>
                <w:spacing w:val="-10"/>
                <w:sz w:val="24"/>
                <w:szCs w:val="24"/>
              </w:rPr>
            </w:pPr>
            <w:r>
              <w:rPr>
                <w:rFonts w:ascii="仿宋_GB2312" w:hAnsi="宋体" w:eastAsia="仿宋_GB2312"/>
                <w:spacing w:val="-10"/>
                <w:sz w:val="24"/>
                <w:szCs w:val="24"/>
              </w:rPr>
              <w:t>7</w:t>
            </w:r>
            <w:r>
              <w:rPr>
                <w:rFonts w:hint="eastAsia" w:ascii="仿宋_GB2312" w:hAnsi="宋体" w:eastAsia="仿宋_GB2312"/>
                <w:spacing w:val="-10"/>
                <w:sz w:val="24"/>
                <w:szCs w:val="24"/>
              </w:rPr>
              <w:t>、本项目不接受联合体报价。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rHeight w:val="1417" w:hRule="atLeast"/>
          <w:jc w:val="center"/>
        </w:trPr>
        <w:tc>
          <w:tcPr>
            <w:tcW w:w="223" w:type="pct"/>
            <w:tcBorders>
              <w:top w:val="outset" w:color="auto" w:sz="6" w:space="0"/>
              <w:left w:val="outset" w:color="auto" w:sz="6" w:space="0"/>
              <w:bottom w:val="single" w:color="auto" w:sz="4" w:space="0"/>
              <w:right w:val="outset" w:color="auto" w:sz="6"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2</w:t>
            </w:r>
          </w:p>
        </w:tc>
        <w:tc>
          <w:tcPr>
            <w:tcW w:w="1559" w:type="dxa"/>
            <w:tcBorders>
              <w:top w:val="outset" w:color="auto" w:sz="6" w:space="0"/>
              <w:left w:val="outset" w:color="auto" w:sz="6" w:space="0"/>
              <w:bottom w:val="single" w:color="auto" w:sz="4" w:space="0"/>
              <w:right w:val="outset" w:color="auto" w:sz="6" w:space="0"/>
            </w:tcBorders>
            <w:vAlign w:val="center"/>
          </w:tcPr>
          <w:p>
            <w:pPr>
              <w:keepNext w:val="0"/>
              <w:keepLines w:val="0"/>
              <w:widowControl/>
              <w:suppressLineNumbers w:val="0"/>
              <w:jc w:val="center"/>
              <w:textAlignment w:val="bottom"/>
              <w:rPr>
                <w:rFonts w:ascii="宋体" w:hAnsi="宋体" w:eastAsia="宋体" w:cs="宋体"/>
                <w:b w:val="0"/>
                <w:bCs w:val="0"/>
                <w:color w:val="auto"/>
                <w:sz w:val="22"/>
              </w:rPr>
            </w:pPr>
            <w:r>
              <w:rPr>
                <w:rFonts w:hint="eastAsia" w:ascii="宋体" w:hAnsi="宋体" w:eastAsia="宋体" w:cs="宋体"/>
                <w:b w:val="0"/>
                <w:bCs w:val="0"/>
                <w:i w:val="0"/>
                <w:iCs w:val="0"/>
                <w:color w:val="auto"/>
                <w:kern w:val="0"/>
                <w:sz w:val="22"/>
                <w:szCs w:val="22"/>
                <w:u w:val="none"/>
                <w:lang w:val="en-US" w:eastAsia="zh-CN" w:bidi="ar"/>
              </w:rPr>
              <w:t>视频转播系统</w:t>
            </w:r>
          </w:p>
        </w:tc>
        <w:tc>
          <w:tcPr>
            <w:tcW w:w="376" w:type="pct"/>
            <w:tcBorders>
              <w:top w:val="outset" w:color="auto" w:sz="6" w:space="0"/>
              <w:left w:val="outset" w:color="auto" w:sz="6" w:space="0"/>
              <w:bottom w:val="single" w:color="auto" w:sz="4" w:space="0"/>
              <w:right w:val="single" w:color="auto" w:sz="4" w:space="0"/>
            </w:tcBorders>
            <w:vAlign w:val="center"/>
          </w:tcPr>
          <w:p>
            <w:pPr>
              <w:widowControl/>
              <w:jc w:val="center"/>
              <w:textAlignment w:val="center"/>
              <w:rPr>
                <w:rFonts w:ascii="宋体" w:hAnsi="宋体" w:eastAsia="宋体" w:cs="宋体"/>
                <w:b w:val="0"/>
                <w:bCs w:val="0"/>
                <w:color w:val="auto"/>
                <w:sz w:val="22"/>
              </w:rPr>
            </w:pPr>
            <w:r>
              <w:rPr>
                <w:rFonts w:hint="eastAsia" w:ascii="宋体" w:hAnsi="宋体" w:eastAsia="宋体" w:cs="宋体"/>
                <w:b w:val="0"/>
                <w:bCs w:val="0"/>
                <w:color w:val="auto"/>
                <w:kern w:val="0"/>
                <w:sz w:val="22"/>
                <w:lang w:bidi="ar"/>
              </w:rPr>
              <w:t>1</w:t>
            </w:r>
          </w:p>
        </w:tc>
        <w:tc>
          <w:tcPr>
            <w:tcW w:w="848" w:type="dxa"/>
            <w:tcBorders>
              <w:top w:val="outset" w:color="auto" w:sz="6" w:space="0"/>
              <w:left w:val="single" w:color="auto" w:sz="4" w:space="0"/>
              <w:bottom w:val="single" w:color="auto" w:sz="4" w:space="0"/>
              <w:right w:val="outset" w:color="auto" w:sz="6" w:space="0"/>
            </w:tcBorders>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10</w:t>
            </w:r>
          </w:p>
        </w:tc>
        <w:tc>
          <w:tcPr>
            <w:tcW w:w="3124" w:type="pct"/>
            <w:vMerge w:val="continue"/>
            <w:tcBorders>
              <w:left w:val="outset" w:color="auto" w:sz="6" w:space="0"/>
              <w:right w:val="outset" w:color="auto" w:sz="6" w:space="0"/>
            </w:tcBorders>
            <w:vAlign w:val="center"/>
          </w:tcPr>
          <w:p>
            <w:pPr>
              <w:spacing w:line="360" w:lineRule="exact"/>
              <w:rPr>
                <w:rFonts w:ascii="仿宋_GB2312" w:hAnsi="宋体" w:eastAsia="仿宋_GB2312"/>
                <w:spacing w:val="-1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rHeight w:val="1417" w:hRule="atLeast"/>
          <w:jc w:val="center"/>
        </w:trPr>
        <w:tc>
          <w:tcPr>
            <w:tcW w:w="223" w:type="pct"/>
            <w:tcBorders>
              <w:top w:val="single" w:color="auto" w:sz="4" w:space="0"/>
              <w:left w:val="outset" w:color="auto" w:sz="6" w:space="0"/>
              <w:bottom w:val="outset" w:color="auto" w:sz="6" w:space="0"/>
              <w:right w:val="outset" w:color="auto" w:sz="6"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3</w:t>
            </w:r>
          </w:p>
        </w:tc>
        <w:tc>
          <w:tcPr>
            <w:tcW w:w="1559" w:type="dxa"/>
            <w:tcBorders>
              <w:top w:val="single" w:color="auto" w:sz="4"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bottom"/>
              <w:rPr>
                <w:rFonts w:ascii="宋体" w:hAnsi="宋体" w:eastAsia="宋体" w:cs="宋体"/>
                <w:b w:val="0"/>
                <w:bCs w:val="0"/>
                <w:color w:val="auto"/>
                <w:sz w:val="22"/>
              </w:rPr>
            </w:pPr>
            <w:r>
              <w:rPr>
                <w:rStyle w:val="20"/>
                <w:rFonts w:hint="eastAsia"/>
                <w:b w:val="0"/>
                <w:bCs w:val="0"/>
                <w:color w:val="auto"/>
                <w:lang w:val="en-US" w:eastAsia="zh-CN" w:bidi="ar"/>
              </w:rPr>
              <w:t>远</w:t>
            </w:r>
            <w:r>
              <w:rPr>
                <w:rStyle w:val="20"/>
                <w:b w:val="0"/>
                <w:bCs w:val="0"/>
                <w:color w:val="auto"/>
                <w:lang w:val="en-US" w:eastAsia="zh-CN" w:bidi="ar"/>
              </w:rPr>
              <w:t>红外治疗仪</w:t>
            </w:r>
          </w:p>
        </w:tc>
        <w:tc>
          <w:tcPr>
            <w:tcW w:w="376" w:type="pct"/>
            <w:tcBorders>
              <w:top w:val="single" w:color="auto" w:sz="4" w:space="0"/>
              <w:left w:val="outset" w:color="auto" w:sz="6" w:space="0"/>
              <w:bottom w:val="outset" w:color="auto" w:sz="6" w:space="0"/>
              <w:right w:val="single" w:color="auto" w:sz="4" w:space="0"/>
            </w:tcBorders>
            <w:vAlign w:val="center"/>
          </w:tcPr>
          <w:p>
            <w:pPr>
              <w:widowControl/>
              <w:jc w:val="center"/>
              <w:textAlignment w:val="center"/>
              <w:rPr>
                <w:rFonts w:hint="eastAsia" w:ascii="宋体" w:hAnsi="宋体" w:eastAsia="宋体" w:cs="宋体"/>
                <w:b w:val="0"/>
                <w:bCs w:val="0"/>
                <w:color w:val="auto"/>
                <w:sz w:val="22"/>
                <w:lang w:eastAsia="zh-CN"/>
              </w:rPr>
            </w:pPr>
            <w:r>
              <w:rPr>
                <w:rFonts w:hint="eastAsia" w:ascii="宋体" w:hAnsi="宋体" w:eastAsia="宋体" w:cs="宋体"/>
                <w:b w:val="0"/>
                <w:bCs w:val="0"/>
                <w:color w:val="auto"/>
                <w:kern w:val="0"/>
                <w:sz w:val="22"/>
                <w:lang w:val="en-US" w:eastAsia="zh-CN" w:bidi="ar"/>
              </w:rPr>
              <w:t>2</w:t>
            </w:r>
          </w:p>
        </w:tc>
        <w:tc>
          <w:tcPr>
            <w:tcW w:w="848" w:type="dxa"/>
            <w:tcBorders>
              <w:top w:val="single" w:color="auto" w:sz="4" w:space="0"/>
              <w:left w:val="single" w:color="auto" w:sz="4" w:space="0"/>
              <w:bottom w:val="outset" w:color="auto" w:sz="6" w:space="0"/>
              <w:right w:val="outset" w:color="auto" w:sz="6" w:space="0"/>
            </w:tcBorders>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15</w:t>
            </w:r>
          </w:p>
        </w:tc>
        <w:tc>
          <w:tcPr>
            <w:tcW w:w="3124" w:type="pct"/>
            <w:vMerge w:val="continue"/>
            <w:tcBorders>
              <w:left w:val="outset" w:color="auto" w:sz="6" w:space="0"/>
              <w:right w:val="outset" w:color="auto" w:sz="6" w:space="0"/>
            </w:tcBorders>
            <w:vAlign w:val="center"/>
          </w:tcPr>
          <w:p>
            <w:pPr>
              <w:spacing w:line="360" w:lineRule="exact"/>
              <w:rPr>
                <w:rFonts w:ascii="仿宋_GB2312" w:hAnsi="宋体" w:eastAsia="仿宋_GB2312"/>
                <w:spacing w:val="-1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rHeight w:val="1417" w:hRule="atLeast"/>
          <w:jc w:val="center"/>
        </w:trPr>
        <w:tc>
          <w:tcPr>
            <w:tcW w:w="223" w:type="pct"/>
            <w:tcBorders>
              <w:top w:val="outset" w:color="auto" w:sz="6" w:space="0"/>
              <w:left w:val="outset" w:color="auto" w:sz="6" w:space="0"/>
              <w:bottom w:val="single" w:color="auto" w:sz="4" w:space="0"/>
              <w:right w:val="outset" w:color="auto" w:sz="6" w:space="0"/>
            </w:tcBorders>
            <w:vAlign w:val="center"/>
          </w:tcPr>
          <w:p>
            <w:pPr>
              <w:widowControl/>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4</w:t>
            </w:r>
          </w:p>
        </w:tc>
        <w:tc>
          <w:tcPr>
            <w:tcW w:w="1559" w:type="dxa"/>
            <w:tcBorders>
              <w:top w:val="outset" w:color="auto" w:sz="6" w:space="0"/>
              <w:left w:val="outset" w:color="auto" w:sz="6" w:space="0"/>
              <w:bottom w:val="single" w:color="auto" w:sz="4" w:space="0"/>
              <w:right w:val="outset" w:color="auto" w:sz="6" w:space="0"/>
            </w:tcBorders>
            <w:vAlign w:val="center"/>
          </w:tcPr>
          <w:p>
            <w:pPr>
              <w:keepNext w:val="0"/>
              <w:keepLines w:val="0"/>
              <w:widowControl/>
              <w:suppressLineNumbers w:val="0"/>
              <w:jc w:val="center"/>
              <w:textAlignment w:val="bottom"/>
              <w:rPr>
                <w:rFonts w:ascii="宋体" w:hAnsi="宋体" w:eastAsia="宋体" w:cs="宋体"/>
                <w:b w:val="0"/>
                <w:bCs w:val="0"/>
                <w:color w:val="auto"/>
                <w:sz w:val="22"/>
              </w:rPr>
            </w:pPr>
            <w:r>
              <w:rPr>
                <w:rFonts w:hint="eastAsia" w:ascii="宋体" w:hAnsi="宋体" w:eastAsia="宋体" w:cs="宋体"/>
                <w:b w:val="0"/>
                <w:bCs w:val="0"/>
                <w:i w:val="0"/>
                <w:iCs w:val="0"/>
                <w:color w:val="auto"/>
                <w:kern w:val="0"/>
                <w:sz w:val="22"/>
                <w:szCs w:val="22"/>
                <w:u w:val="none"/>
                <w:lang w:val="en-US" w:eastAsia="zh-CN" w:bidi="ar"/>
              </w:rPr>
              <w:t>紫外线治疗车</w:t>
            </w:r>
          </w:p>
        </w:tc>
        <w:tc>
          <w:tcPr>
            <w:tcW w:w="376" w:type="pct"/>
            <w:tcBorders>
              <w:top w:val="outset" w:color="auto" w:sz="6" w:space="0"/>
              <w:left w:val="outset" w:color="auto" w:sz="6"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val="0"/>
                <w:color w:val="auto"/>
                <w:sz w:val="22"/>
                <w:lang w:val="en-US" w:eastAsia="zh-CN"/>
              </w:rPr>
            </w:pPr>
            <w:r>
              <w:rPr>
                <w:rFonts w:hint="eastAsia" w:ascii="宋体" w:hAnsi="宋体" w:eastAsia="宋体" w:cs="宋体"/>
                <w:b w:val="0"/>
                <w:bCs w:val="0"/>
                <w:color w:val="auto"/>
                <w:kern w:val="0"/>
                <w:sz w:val="22"/>
                <w:lang w:val="en-US" w:eastAsia="zh-CN" w:bidi="ar"/>
              </w:rPr>
              <w:t>120</w:t>
            </w:r>
          </w:p>
        </w:tc>
        <w:tc>
          <w:tcPr>
            <w:tcW w:w="848" w:type="dxa"/>
            <w:tcBorders>
              <w:top w:val="outset" w:color="auto" w:sz="6" w:space="0"/>
              <w:left w:val="single" w:color="auto" w:sz="4" w:space="0"/>
              <w:bottom w:val="single" w:color="auto" w:sz="4" w:space="0"/>
              <w:right w:val="outset" w:color="auto" w:sz="6" w:space="0"/>
            </w:tcBorders>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10</w:t>
            </w:r>
          </w:p>
        </w:tc>
        <w:tc>
          <w:tcPr>
            <w:tcW w:w="3124" w:type="pct"/>
            <w:vMerge w:val="continue"/>
            <w:tcBorders>
              <w:left w:val="outset" w:color="auto" w:sz="6" w:space="0"/>
              <w:right w:val="outset" w:color="auto" w:sz="6" w:space="0"/>
            </w:tcBorders>
            <w:vAlign w:val="center"/>
          </w:tcPr>
          <w:p>
            <w:pPr>
              <w:spacing w:line="360" w:lineRule="exact"/>
              <w:rPr>
                <w:rFonts w:ascii="仿宋_GB2312" w:hAnsi="宋体" w:eastAsia="仿宋_GB2312"/>
                <w:spacing w:val="-1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2" w:type="dxa"/>
            <w:left w:w="12" w:type="dxa"/>
            <w:bottom w:w="12" w:type="dxa"/>
            <w:right w:w="12" w:type="dxa"/>
          </w:tblCellMar>
        </w:tblPrEx>
        <w:trPr>
          <w:trHeight w:val="1417" w:hRule="atLeast"/>
          <w:jc w:val="center"/>
        </w:trPr>
        <w:tc>
          <w:tcPr>
            <w:tcW w:w="223" w:type="pct"/>
            <w:tcBorders>
              <w:top w:val="single" w:color="auto" w:sz="4" w:space="0"/>
              <w:left w:val="outset" w:color="auto" w:sz="6" w:space="0"/>
              <w:bottom w:val="single" w:color="auto" w:sz="4" w:space="0"/>
              <w:right w:val="outset" w:color="auto" w:sz="6" w:space="0"/>
            </w:tcBorders>
            <w:vAlign w:val="center"/>
          </w:tcPr>
          <w:p>
            <w:pPr>
              <w:spacing w:line="360" w:lineRule="exact"/>
              <w:jc w:val="center"/>
              <w:rPr>
                <w:rFonts w:ascii="仿宋_GB2312" w:hAnsi="宋体" w:eastAsia="仿宋_GB2312"/>
                <w:spacing w:val="-10"/>
                <w:sz w:val="24"/>
                <w:szCs w:val="24"/>
              </w:rPr>
            </w:pPr>
            <w:r>
              <w:rPr>
                <w:rFonts w:hint="eastAsia" w:ascii="仿宋_GB2312" w:hAnsi="宋体" w:eastAsia="仿宋_GB2312"/>
                <w:spacing w:val="-10"/>
                <w:sz w:val="24"/>
                <w:szCs w:val="24"/>
              </w:rPr>
              <w:t>5</w:t>
            </w:r>
          </w:p>
        </w:tc>
        <w:tc>
          <w:tcPr>
            <w:tcW w:w="826" w:type="pct"/>
            <w:tcBorders>
              <w:top w:val="single" w:color="auto" w:sz="4" w:space="0"/>
              <w:left w:val="outset" w:color="auto" w:sz="6" w:space="0"/>
              <w:bottom w:val="single" w:color="auto" w:sz="4" w:space="0"/>
              <w:right w:val="outset" w:color="auto" w:sz="6" w:space="0"/>
            </w:tcBorders>
            <w:vAlign w:val="center"/>
          </w:tcPr>
          <w:p>
            <w:pPr>
              <w:widowControl/>
              <w:jc w:val="center"/>
              <w:textAlignment w:val="center"/>
              <w:rPr>
                <w:rFonts w:ascii="宋体" w:hAnsi="宋体" w:eastAsia="宋体" w:cs="宋体"/>
                <w:b w:val="0"/>
                <w:bCs w:val="0"/>
                <w:color w:val="auto"/>
                <w:sz w:val="22"/>
              </w:rPr>
            </w:pPr>
            <w:r>
              <w:rPr>
                <w:rFonts w:hint="eastAsia" w:ascii="宋体" w:hAnsi="宋体" w:eastAsia="宋体" w:cs="宋体"/>
                <w:b w:val="0"/>
                <w:bCs w:val="0"/>
                <w:color w:val="auto"/>
                <w:kern w:val="0"/>
                <w:sz w:val="22"/>
                <w:lang w:bidi="ar"/>
              </w:rPr>
              <w:t>牙科种植机</w:t>
            </w:r>
          </w:p>
        </w:tc>
        <w:tc>
          <w:tcPr>
            <w:tcW w:w="376" w:type="pct"/>
            <w:tcBorders>
              <w:top w:val="single" w:color="auto" w:sz="4" w:space="0"/>
              <w:left w:val="outset" w:color="auto" w:sz="6"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auto"/>
                <w:sz w:val="22"/>
                <w:lang w:val="en-US" w:eastAsia="zh-CN"/>
              </w:rPr>
            </w:pPr>
            <w:r>
              <w:rPr>
                <w:rFonts w:hint="eastAsia" w:ascii="宋体" w:hAnsi="宋体" w:eastAsia="宋体" w:cs="宋体"/>
                <w:b w:val="0"/>
                <w:bCs w:val="0"/>
                <w:color w:val="auto"/>
                <w:sz w:val="22"/>
                <w:lang w:val="en-US" w:eastAsia="zh-CN"/>
              </w:rPr>
              <w:t>1</w:t>
            </w:r>
          </w:p>
        </w:tc>
        <w:tc>
          <w:tcPr>
            <w:tcW w:w="449" w:type="pct"/>
            <w:tcBorders>
              <w:top w:val="single" w:color="auto" w:sz="4" w:space="0"/>
              <w:left w:val="single" w:color="auto" w:sz="4" w:space="0"/>
              <w:bottom w:val="single" w:color="auto" w:sz="4" w:space="0"/>
              <w:right w:val="outset" w:color="auto" w:sz="6" w:space="0"/>
            </w:tcBorders>
            <w:vAlign w:val="center"/>
          </w:tcPr>
          <w:p>
            <w:pPr>
              <w:widowControl/>
              <w:jc w:val="center"/>
              <w:textAlignment w:val="center"/>
              <w:rPr>
                <w:rFonts w:hint="eastAsia" w:ascii="仿宋_GB2312" w:hAnsi="宋体" w:eastAsia="仿宋_GB2312"/>
                <w:b w:val="0"/>
                <w:bCs w:val="0"/>
                <w:color w:val="auto"/>
                <w:spacing w:val="-10"/>
                <w:sz w:val="24"/>
                <w:szCs w:val="24"/>
                <w:lang w:eastAsia="zh-CN"/>
              </w:rPr>
            </w:pPr>
            <w:r>
              <w:rPr>
                <w:rFonts w:hint="eastAsia" w:ascii="宋体" w:hAnsi="宋体" w:eastAsia="宋体" w:cs="宋体"/>
                <w:b w:val="0"/>
                <w:bCs w:val="0"/>
                <w:color w:val="auto"/>
                <w:kern w:val="0"/>
                <w:sz w:val="22"/>
                <w:lang w:val="en-US" w:eastAsia="zh-CN" w:bidi="ar"/>
              </w:rPr>
              <w:t>8</w:t>
            </w:r>
          </w:p>
        </w:tc>
        <w:tc>
          <w:tcPr>
            <w:tcW w:w="3124" w:type="pct"/>
            <w:vMerge w:val="continue"/>
            <w:tcBorders>
              <w:left w:val="outset" w:color="auto" w:sz="6" w:space="0"/>
              <w:right w:val="outset" w:color="auto" w:sz="6" w:space="0"/>
            </w:tcBorders>
            <w:vAlign w:val="center"/>
          </w:tcPr>
          <w:p>
            <w:pPr>
              <w:spacing w:line="360" w:lineRule="exact"/>
              <w:rPr>
                <w:rFonts w:ascii="仿宋_GB2312" w:hAnsi="宋体" w:eastAsia="仿宋_GB2312"/>
                <w:spacing w:val="-10"/>
                <w:sz w:val="24"/>
                <w:szCs w:val="24"/>
              </w:rPr>
            </w:pPr>
          </w:p>
        </w:tc>
      </w:tr>
    </w:tbl>
    <w:p>
      <w:pPr>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三、招标方式：公开招标</w:t>
      </w:r>
    </w:p>
    <w:p>
      <w:pPr>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四、获取招标文件</w:t>
      </w:r>
    </w:p>
    <w:p>
      <w:pPr>
        <w:snapToGrid w:val="0"/>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1.时间：20</w:t>
      </w:r>
      <w:r>
        <w:rPr>
          <w:rFonts w:hint="eastAsia" w:ascii="仿宋" w:hAnsi="仿宋" w:eastAsia="仿宋" w:cs="宋体"/>
          <w:kern w:val="0"/>
          <w:sz w:val="28"/>
          <w:szCs w:val="28"/>
        </w:rPr>
        <w:t>2</w:t>
      </w:r>
      <w:r>
        <w:rPr>
          <w:rFonts w:hint="eastAsia" w:ascii="仿宋" w:hAnsi="仿宋" w:eastAsia="仿宋" w:cs="宋体"/>
          <w:kern w:val="0"/>
          <w:sz w:val="28"/>
          <w:szCs w:val="28"/>
          <w:lang w:val="en-US" w:eastAsia="zh-CN"/>
        </w:rPr>
        <w:t>2</w:t>
      </w:r>
      <w:r>
        <w:rPr>
          <w:rFonts w:ascii="仿宋" w:hAnsi="仿宋" w:eastAsia="仿宋" w:cs="宋体"/>
          <w:kern w:val="0"/>
          <w:sz w:val="28"/>
          <w:szCs w:val="28"/>
        </w:rPr>
        <w:t>年</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7</w:t>
      </w:r>
      <w:r>
        <w:rPr>
          <w:rFonts w:ascii="仿宋" w:hAnsi="仿宋" w:eastAsia="仿宋" w:cs="宋体"/>
          <w:kern w:val="0"/>
          <w:sz w:val="28"/>
          <w:szCs w:val="28"/>
        </w:rPr>
        <w:t>月</w:t>
      </w:r>
      <w:r>
        <w:rPr>
          <w:rFonts w:hint="eastAsia" w:ascii="仿宋" w:hAnsi="仿宋" w:eastAsia="仿宋" w:cs="宋体"/>
          <w:kern w:val="0"/>
          <w:sz w:val="28"/>
          <w:szCs w:val="28"/>
          <w:lang w:val="en-US" w:eastAsia="zh-CN"/>
        </w:rPr>
        <w:t>5</w:t>
      </w:r>
      <w:r>
        <w:rPr>
          <w:rFonts w:ascii="仿宋" w:hAnsi="仿宋" w:eastAsia="仿宋" w:cs="宋体"/>
          <w:kern w:val="0"/>
          <w:sz w:val="28"/>
          <w:szCs w:val="28"/>
        </w:rPr>
        <w:t>日08时30分至20</w:t>
      </w:r>
      <w:r>
        <w:rPr>
          <w:rFonts w:hint="eastAsia" w:ascii="仿宋" w:hAnsi="仿宋" w:eastAsia="仿宋" w:cs="宋体"/>
          <w:kern w:val="0"/>
          <w:sz w:val="28"/>
          <w:szCs w:val="28"/>
        </w:rPr>
        <w:t>22</w:t>
      </w:r>
      <w:r>
        <w:rPr>
          <w:rFonts w:ascii="仿宋" w:hAnsi="仿宋" w:eastAsia="仿宋" w:cs="宋体"/>
          <w:kern w:val="0"/>
          <w:sz w:val="28"/>
          <w:szCs w:val="28"/>
        </w:rPr>
        <w:t>年</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7</w:t>
      </w:r>
      <w:r>
        <w:rPr>
          <w:rFonts w:ascii="仿宋" w:hAnsi="仿宋" w:eastAsia="仿宋" w:cs="宋体"/>
          <w:kern w:val="0"/>
          <w:sz w:val="28"/>
          <w:szCs w:val="28"/>
        </w:rPr>
        <w:t>月</w:t>
      </w:r>
      <w:r>
        <w:rPr>
          <w:rFonts w:hint="eastAsia" w:ascii="仿宋" w:hAnsi="仿宋" w:eastAsia="仿宋" w:cs="宋体"/>
          <w:kern w:val="0"/>
          <w:sz w:val="28"/>
          <w:szCs w:val="28"/>
          <w:lang w:val="en-US" w:eastAsia="zh-CN"/>
        </w:rPr>
        <w:t>12</w:t>
      </w:r>
      <w:r>
        <w:rPr>
          <w:rFonts w:ascii="仿宋" w:hAnsi="仿宋" w:eastAsia="仿宋" w:cs="宋体"/>
          <w:kern w:val="0"/>
          <w:sz w:val="28"/>
          <w:szCs w:val="28"/>
        </w:rPr>
        <w:t>日17时</w:t>
      </w:r>
      <w:r>
        <w:rPr>
          <w:rFonts w:hint="eastAsia" w:ascii="仿宋" w:hAnsi="仿宋" w:eastAsia="仿宋" w:cs="宋体"/>
          <w:kern w:val="0"/>
          <w:sz w:val="28"/>
          <w:szCs w:val="28"/>
        </w:rPr>
        <w:t>0</w:t>
      </w:r>
      <w:r>
        <w:rPr>
          <w:rFonts w:ascii="仿宋" w:hAnsi="仿宋" w:eastAsia="仿宋" w:cs="宋体"/>
          <w:kern w:val="0"/>
          <w:sz w:val="28"/>
          <w:szCs w:val="28"/>
        </w:rPr>
        <w:t xml:space="preserve">分（报名截止时间）（北京时间，法定节假日除外） </w:t>
      </w:r>
    </w:p>
    <w:p>
      <w:pPr>
        <w:snapToGrid w:val="0"/>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2.地点：</w:t>
      </w:r>
      <w:r>
        <w:rPr>
          <w:rFonts w:hint="eastAsia" w:ascii="仿宋" w:hAnsi="仿宋" w:eastAsia="仿宋" w:cs="宋体"/>
          <w:kern w:val="0"/>
          <w:sz w:val="28"/>
          <w:szCs w:val="28"/>
        </w:rPr>
        <w:t>烟台市莱山区科技大道10087号烟台山医院设备科</w:t>
      </w:r>
    </w:p>
    <w:p>
      <w:pPr>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五、开标时间及地点</w:t>
      </w:r>
    </w:p>
    <w:p>
      <w:pPr>
        <w:snapToGrid w:val="0"/>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1.时间：</w:t>
      </w:r>
      <w:r>
        <w:rPr>
          <w:rFonts w:hint="eastAsia" w:ascii="仿宋" w:hAnsi="仿宋" w:eastAsia="仿宋" w:cs="宋体"/>
          <w:kern w:val="0"/>
          <w:sz w:val="28"/>
          <w:szCs w:val="28"/>
        </w:rPr>
        <w:t>2022年</w:t>
      </w:r>
      <w:r>
        <w:rPr>
          <w:rFonts w:hint="eastAsia" w:ascii="仿宋" w:hAnsi="仿宋" w:eastAsia="仿宋" w:cs="宋体"/>
          <w:kern w:val="0"/>
          <w:sz w:val="28"/>
          <w:szCs w:val="28"/>
          <w:lang w:val="en-US" w:eastAsia="zh-CN"/>
        </w:rPr>
        <w:t>7</w:t>
      </w:r>
      <w:r>
        <w:rPr>
          <w:rFonts w:hint="eastAsia" w:ascii="仿宋" w:hAnsi="仿宋" w:eastAsia="仿宋" w:cs="宋体"/>
          <w:kern w:val="0"/>
          <w:sz w:val="28"/>
          <w:szCs w:val="28"/>
        </w:rPr>
        <w:t>月2</w:t>
      </w:r>
      <w:r>
        <w:rPr>
          <w:rFonts w:hint="eastAsia" w:ascii="仿宋" w:hAnsi="仿宋" w:eastAsia="仿宋" w:cs="宋体"/>
          <w:kern w:val="0"/>
          <w:sz w:val="28"/>
          <w:szCs w:val="28"/>
          <w:lang w:val="en-US" w:eastAsia="zh-CN"/>
        </w:rPr>
        <w:t>6</w:t>
      </w:r>
      <w:r>
        <w:rPr>
          <w:rFonts w:hint="eastAsia" w:ascii="仿宋" w:hAnsi="仿宋" w:eastAsia="仿宋" w:cs="宋体"/>
          <w:kern w:val="0"/>
          <w:sz w:val="28"/>
          <w:szCs w:val="28"/>
        </w:rPr>
        <w:t>日</w:t>
      </w:r>
      <w:r>
        <w:rPr>
          <w:rFonts w:hint="eastAsia" w:ascii="仿宋" w:hAnsi="仿宋" w:eastAsia="仿宋" w:cs="宋体"/>
          <w:kern w:val="0"/>
          <w:sz w:val="28"/>
          <w:szCs w:val="28"/>
          <w:lang w:val="en-US" w:eastAsia="zh-CN"/>
        </w:rPr>
        <w:t>上午</w:t>
      </w:r>
      <w:r>
        <w:rPr>
          <w:rFonts w:hint="eastAsia" w:ascii="仿宋" w:hAnsi="仿宋" w:eastAsia="仿宋" w:cs="宋体"/>
          <w:kern w:val="0"/>
          <w:sz w:val="28"/>
          <w:szCs w:val="28"/>
        </w:rPr>
        <w:t>8:30</w:t>
      </w:r>
    </w:p>
    <w:p>
      <w:pPr>
        <w:snapToGrid w:val="0"/>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2.地点：</w:t>
      </w:r>
      <w:r>
        <w:rPr>
          <w:rFonts w:hint="eastAsia" w:ascii="仿宋" w:hAnsi="仿宋" w:eastAsia="仿宋" w:cs="宋体"/>
          <w:kern w:val="0"/>
          <w:sz w:val="28"/>
          <w:szCs w:val="28"/>
        </w:rPr>
        <w:t>烟台山医院东院412会议室</w:t>
      </w:r>
    </w:p>
    <w:p>
      <w:pPr>
        <w:snapToGrid w:val="0"/>
        <w:spacing w:line="360" w:lineRule="auto"/>
        <w:rPr>
          <w:rFonts w:ascii="仿宋" w:hAnsi="仿宋" w:eastAsia="仿宋" w:cs="宋体"/>
          <w:kern w:val="0"/>
          <w:sz w:val="28"/>
          <w:szCs w:val="28"/>
        </w:rPr>
      </w:pPr>
    </w:p>
    <w:p>
      <w:pPr>
        <w:snapToGrid w:val="0"/>
        <w:spacing w:line="360" w:lineRule="auto"/>
        <w:rPr>
          <w:rFonts w:ascii="仿宋" w:hAnsi="仿宋" w:eastAsia="仿宋" w:cs="宋体"/>
          <w:kern w:val="0"/>
          <w:sz w:val="28"/>
          <w:szCs w:val="28"/>
        </w:rPr>
      </w:pPr>
    </w:p>
    <w:p>
      <w:pPr>
        <w:snapToGrid w:val="0"/>
        <w:spacing w:line="360" w:lineRule="auto"/>
        <w:rPr>
          <w:rFonts w:ascii="仿宋" w:hAnsi="仿宋" w:eastAsia="仿宋" w:cs="宋体"/>
          <w:kern w:val="0"/>
          <w:sz w:val="28"/>
          <w:szCs w:val="28"/>
        </w:rPr>
      </w:pPr>
    </w:p>
    <w:p>
      <w:pPr>
        <w:snapToGrid w:val="0"/>
        <w:spacing w:line="360" w:lineRule="auto"/>
        <w:rPr>
          <w:rFonts w:ascii="仿宋" w:hAnsi="仿宋" w:eastAsia="仿宋" w:cs="宋体"/>
          <w:kern w:val="0"/>
          <w:sz w:val="28"/>
          <w:szCs w:val="28"/>
        </w:rPr>
      </w:pPr>
    </w:p>
    <w:p>
      <w:pPr>
        <w:snapToGrid w:val="0"/>
        <w:spacing w:line="360" w:lineRule="auto"/>
        <w:rPr>
          <w:rFonts w:ascii="仿宋" w:hAnsi="仿宋" w:eastAsia="仿宋" w:cs="宋体"/>
          <w:kern w:val="0"/>
          <w:sz w:val="28"/>
          <w:szCs w:val="28"/>
        </w:rPr>
      </w:pPr>
    </w:p>
    <w:p>
      <w:pPr>
        <w:snapToGrid w:val="0"/>
        <w:spacing w:line="360" w:lineRule="auto"/>
        <w:ind w:right="560" w:firstLine="4200" w:firstLineChars="1500"/>
        <w:rPr>
          <w:rFonts w:ascii="仿宋" w:hAnsi="仿宋" w:eastAsia="仿宋" w:cs="宋体"/>
          <w:kern w:val="0"/>
          <w:sz w:val="28"/>
          <w:szCs w:val="28"/>
        </w:rPr>
      </w:pPr>
      <w:r>
        <w:rPr>
          <w:rFonts w:hint="eastAsia" w:ascii="仿宋" w:hAnsi="仿宋" w:eastAsia="仿宋" w:cs="宋体"/>
          <w:kern w:val="0"/>
          <w:sz w:val="28"/>
          <w:szCs w:val="28"/>
        </w:rPr>
        <w:t>发</w:t>
      </w:r>
      <w:r>
        <w:rPr>
          <w:rFonts w:ascii="仿宋" w:hAnsi="仿宋" w:eastAsia="仿宋" w:cs="宋体"/>
          <w:kern w:val="0"/>
          <w:sz w:val="28"/>
          <w:szCs w:val="28"/>
        </w:rPr>
        <w:t xml:space="preserve"> 布 人：</w:t>
      </w:r>
      <w:r>
        <w:rPr>
          <w:rFonts w:hint="eastAsia" w:ascii="仿宋" w:hAnsi="仿宋" w:eastAsia="仿宋" w:cs="宋体"/>
          <w:kern w:val="0"/>
          <w:sz w:val="28"/>
          <w:szCs w:val="28"/>
        </w:rPr>
        <w:t>烟台山医院招标办</w:t>
      </w:r>
    </w:p>
    <w:p>
      <w:pPr>
        <w:snapToGrid w:val="0"/>
        <w:spacing w:line="360" w:lineRule="auto"/>
        <w:ind w:right="560" w:firstLine="4340" w:firstLineChars="1550"/>
        <w:rPr>
          <w:rFonts w:ascii="仿宋" w:hAnsi="仿宋" w:eastAsia="仿宋" w:cs="宋体"/>
          <w:kern w:val="0"/>
          <w:sz w:val="28"/>
          <w:szCs w:val="28"/>
        </w:rPr>
      </w:pPr>
      <w:r>
        <w:rPr>
          <w:rFonts w:hint="eastAsia" w:ascii="仿宋" w:hAnsi="仿宋" w:eastAsia="仿宋" w:cs="宋体"/>
          <w:kern w:val="0"/>
          <w:sz w:val="28"/>
          <w:szCs w:val="28"/>
        </w:rPr>
        <w:t>发布时间：</w:t>
      </w:r>
      <w:r>
        <w:rPr>
          <w:rFonts w:ascii="仿宋" w:hAnsi="仿宋" w:eastAsia="仿宋" w:cs="宋体"/>
          <w:kern w:val="0"/>
          <w:sz w:val="28"/>
          <w:szCs w:val="28"/>
        </w:rPr>
        <w:t>20</w:t>
      </w:r>
      <w:r>
        <w:rPr>
          <w:rFonts w:hint="eastAsia" w:ascii="仿宋" w:hAnsi="仿宋" w:eastAsia="仿宋" w:cs="宋体"/>
          <w:kern w:val="0"/>
          <w:sz w:val="28"/>
          <w:szCs w:val="28"/>
        </w:rPr>
        <w:t>22</w:t>
      </w:r>
      <w:r>
        <w:rPr>
          <w:rFonts w:ascii="仿宋" w:hAnsi="仿宋" w:eastAsia="仿宋" w:cs="宋体"/>
          <w:kern w:val="0"/>
          <w:sz w:val="28"/>
          <w:szCs w:val="28"/>
        </w:rPr>
        <w:t>年</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7</w:t>
      </w:r>
      <w:r>
        <w:rPr>
          <w:rFonts w:ascii="仿宋" w:hAnsi="仿宋" w:eastAsia="仿宋" w:cs="宋体"/>
          <w:kern w:val="0"/>
          <w:sz w:val="28"/>
          <w:szCs w:val="28"/>
        </w:rPr>
        <w:t>月</w:t>
      </w:r>
      <w:r>
        <w:rPr>
          <w:rFonts w:hint="eastAsia" w:ascii="仿宋" w:hAnsi="仿宋" w:eastAsia="仿宋" w:cs="宋体"/>
          <w:kern w:val="0"/>
          <w:sz w:val="28"/>
          <w:szCs w:val="28"/>
          <w:lang w:val="en-US" w:eastAsia="zh-CN"/>
        </w:rPr>
        <w:t>5</w:t>
      </w:r>
      <w:r>
        <w:rPr>
          <w:rFonts w:ascii="仿宋" w:hAnsi="仿宋" w:eastAsia="仿宋" w:cs="宋体"/>
          <w:kern w:val="0"/>
          <w:sz w:val="28"/>
          <w:szCs w:val="28"/>
        </w:rPr>
        <w:t>日</w:t>
      </w:r>
    </w:p>
    <w:sectPr>
      <w:pgSz w:w="11906" w:h="16838"/>
      <w:pgMar w:top="1361" w:right="1247"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YTUxMThjODU5NmJlOTlkMmQzOWE4NmVlOWViYmYifQ=="/>
  </w:docVars>
  <w:rsids>
    <w:rsidRoot w:val="00447376"/>
    <w:rsid w:val="00012BDC"/>
    <w:rsid w:val="00017DEA"/>
    <w:rsid w:val="000349DB"/>
    <w:rsid w:val="000621F4"/>
    <w:rsid w:val="000715B9"/>
    <w:rsid w:val="00076DB1"/>
    <w:rsid w:val="00082B98"/>
    <w:rsid w:val="000A0A45"/>
    <w:rsid w:val="000C1965"/>
    <w:rsid w:val="000D1E07"/>
    <w:rsid w:val="000D36EA"/>
    <w:rsid w:val="000D4A48"/>
    <w:rsid w:val="000E0B9D"/>
    <w:rsid w:val="000E5E9B"/>
    <w:rsid w:val="000F2E48"/>
    <w:rsid w:val="001014CB"/>
    <w:rsid w:val="00123C65"/>
    <w:rsid w:val="00137F80"/>
    <w:rsid w:val="00147BB9"/>
    <w:rsid w:val="00155F9A"/>
    <w:rsid w:val="00163D2B"/>
    <w:rsid w:val="0018159E"/>
    <w:rsid w:val="00184AAE"/>
    <w:rsid w:val="00191FD9"/>
    <w:rsid w:val="00195452"/>
    <w:rsid w:val="00196729"/>
    <w:rsid w:val="001A1EC1"/>
    <w:rsid w:val="001A4BE9"/>
    <w:rsid w:val="001D17A4"/>
    <w:rsid w:val="001E2929"/>
    <w:rsid w:val="001E34D2"/>
    <w:rsid w:val="001F0F2C"/>
    <w:rsid w:val="001F655A"/>
    <w:rsid w:val="002108A3"/>
    <w:rsid w:val="0023043D"/>
    <w:rsid w:val="00262306"/>
    <w:rsid w:val="00271C72"/>
    <w:rsid w:val="00272886"/>
    <w:rsid w:val="0027559B"/>
    <w:rsid w:val="00293064"/>
    <w:rsid w:val="002A6DD8"/>
    <w:rsid w:val="002B0DBC"/>
    <w:rsid w:val="002B6A85"/>
    <w:rsid w:val="0030789A"/>
    <w:rsid w:val="00317E71"/>
    <w:rsid w:val="00342D99"/>
    <w:rsid w:val="00345ED7"/>
    <w:rsid w:val="003827F9"/>
    <w:rsid w:val="0038611C"/>
    <w:rsid w:val="003A17CF"/>
    <w:rsid w:val="003F10F2"/>
    <w:rsid w:val="00424523"/>
    <w:rsid w:val="00440BD9"/>
    <w:rsid w:val="00447376"/>
    <w:rsid w:val="0045451A"/>
    <w:rsid w:val="00454CCD"/>
    <w:rsid w:val="0045751A"/>
    <w:rsid w:val="00481FE0"/>
    <w:rsid w:val="004A0B8E"/>
    <w:rsid w:val="004C09DD"/>
    <w:rsid w:val="004C3F74"/>
    <w:rsid w:val="004D46AF"/>
    <w:rsid w:val="004D46C4"/>
    <w:rsid w:val="004D5BCC"/>
    <w:rsid w:val="004D63A0"/>
    <w:rsid w:val="004F6837"/>
    <w:rsid w:val="005312E1"/>
    <w:rsid w:val="00544246"/>
    <w:rsid w:val="00557B14"/>
    <w:rsid w:val="00565311"/>
    <w:rsid w:val="00580DA8"/>
    <w:rsid w:val="005858C8"/>
    <w:rsid w:val="005978B2"/>
    <w:rsid w:val="005A07A0"/>
    <w:rsid w:val="005B1C5D"/>
    <w:rsid w:val="005C02E3"/>
    <w:rsid w:val="005F583C"/>
    <w:rsid w:val="00617523"/>
    <w:rsid w:val="00621BAA"/>
    <w:rsid w:val="00632F39"/>
    <w:rsid w:val="00636DD6"/>
    <w:rsid w:val="0063744E"/>
    <w:rsid w:val="00673DB2"/>
    <w:rsid w:val="00683CC1"/>
    <w:rsid w:val="00694111"/>
    <w:rsid w:val="006A7110"/>
    <w:rsid w:val="006D43AF"/>
    <w:rsid w:val="006E0AC1"/>
    <w:rsid w:val="006F64EC"/>
    <w:rsid w:val="0071749F"/>
    <w:rsid w:val="00720809"/>
    <w:rsid w:val="00721CA2"/>
    <w:rsid w:val="00736AEB"/>
    <w:rsid w:val="007469FD"/>
    <w:rsid w:val="0074785A"/>
    <w:rsid w:val="00751D41"/>
    <w:rsid w:val="0078492C"/>
    <w:rsid w:val="007B3807"/>
    <w:rsid w:val="007B4112"/>
    <w:rsid w:val="007C6270"/>
    <w:rsid w:val="007D777E"/>
    <w:rsid w:val="007E52A2"/>
    <w:rsid w:val="00820273"/>
    <w:rsid w:val="0082277D"/>
    <w:rsid w:val="00826A41"/>
    <w:rsid w:val="00851E18"/>
    <w:rsid w:val="00852907"/>
    <w:rsid w:val="00853A37"/>
    <w:rsid w:val="0087265C"/>
    <w:rsid w:val="00875B97"/>
    <w:rsid w:val="008817D8"/>
    <w:rsid w:val="00885E99"/>
    <w:rsid w:val="0088637D"/>
    <w:rsid w:val="008943B2"/>
    <w:rsid w:val="00896DDE"/>
    <w:rsid w:val="008A2400"/>
    <w:rsid w:val="008A7FC7"/>
    <w:rsid w:val="008B79D6"/>
    <w:rsid w:val="008D4C85"/>
    <w:rsid w:val="008D5B4A"/>
    <w:rsid w:val="0094020B"/>
    <w:rsid w:val="00947954"/>
    <w:rsid w:val="00947E1B"/>
    <w:rsid w:val="00965FA7"/>
    <w:rsid w:val="009A010E"/>
    <w:rsid w:val="009A3064"/>
    <w:rsid w:val="009B0EDC"/>
    <w:rsid w:val="009B7216"/>
    <w:rsid w:val="009C7802"/>
    <w:rsid w:val="009D02F8"/>
    <w:rsid w:val="009E08D1"/>
    <w:rsid w:val="009E416D"/>
    <w:rsid w:val="009E48AC"/>
    <w:rsid w:val="009E628F"/>
    <w:rsid w:val="00A02DF6"/>
    <w:rsid w:val="00A0311F"/>
    <w:rsid w:val="00A36FF3"/>
    <w:rsid w:val="00A42AD2"/>
    <w:rsid w:val="00A61AFE"/>
    <w:rsid w:val="00A67576"/>
    <w:rsid w:val="00A800E4"/>
    <w:rsid w:val="00AB05DB"/>
    <w:rsid w:val="00AC73A0"/>
    <w:rsid w:val="00AD31E2"/>
    <w:rsid w:val="00AD72DE"/>
    <w:rsid w:val="00B1624F"/>
    <w:rsid w:val="00B26FBE"/>
    <w:rsid w:val="00B27067"/>
    <w:rsid w:val="00B32CAF"/>
    <w:rsid w:val="00B67293"/>
    <w:rsid w:val="00B74310"/>
    <w:rsid w:val="00B76DDB"/>
    <w:rsid w:val="00B84102"/>
    <w:rsid w:val="00B90610"/>
    <w:rsid w:val="00BA49F2"/>
    <w:rsid w:val="00BB6C6F"/>
    <w:rsid w:val="00BC161E"/>
    <w:rsid w:val="00C45FA3"/>
    <w:rsid w:val="00C70899"/>
    <w:rsid w:val="00C97D35"/>
    <w:rsid w:val="00CB03B3"/>
    <w:rsid w:val="00CC1CC8"/>
    <w:rsid w:val="00CD384E"/>
    <w:rsid w:val="00CD7C36"/>
    <w:rsid w:val="00CE515D"/>
    <w:rsid w:val="00CE7E80"/>
    <w:rsid w:val="00D267B9"/>
    <w:rsid w:val="00D41E0F"/>
    <w:rsid w:val="00D53C88"/>
    <w:rsid w:val="00D74562"/>
    <w:rsid w:val="00D7557E"/>
    <w:rsid w:val="00D85E89"/>
    <w:rsid w:val="00D90B8A"/>
    <w:rsid w:val="00D95811"/>
    <w:rsid w:val="00D95FFD"/>
    <w:rsid w:val="00DC25FE"/>
    <w:rsid w:val="00DD297F"/>
    <w:rsid w:val="00DE5239"/>
    <w:rsid w:val="00DE6C86"/>
    <w:rsid w:val="00DE7A1C"/>
    <w:rsid w:val="00E00857"/>
    <w:rsid w:val="00E0485E"/>
    <w:rsid w:val="00E15FAD"/>
    <w:rsid w:val="00E22F4E"/>
    <w:rsid w:val="00E276CE"/>
    <w:rsid w:val="00E33E4D"/>
    <w:rsid w:val="00E473FA"/>
    <w:rsid w:val="00E51827"/>
    <w:rsid w:val="00E75180"/>
    <w:rsid w:val="00E874FA"/>
    <w:rsid w:val="00EA3E47"/>
    <w:rsid w:val="00EB2436"/>
    <w:rsid w:val="00EC5B2C"/>
    <w:rsid w:val="00ED3891"/>
    <w:rsid w:val="00EE1B40"/>
    <w:rsid w:val="00EF696E"/>
    <w:rsid w:val="00F02655"/>
    <w:rsid w:val="00F14951"/>
    <w:rsid w:val="00F417C2"/>
    <w:rsid w:val="00F76E76"/>
    <w:rsid w:val="00FB622F"/>
    <w:rsid w:val="00FC6D15"/>
    <w:rsid w:val="00FD7F8B"/>
    <w:rsid w:val="00FD7FBA"/>
    <w:rsid w:val="00FE2D72"/>
    <w:rsid w:val="02133C14"/>
    <w:rsid w:val="08B65CD9"/>
    <w:rsid w:val="0A402D57"/>
    <w:rsid w:val="1D381393"/>
    <w:rsid w:val="22527454"/>
    <w:rsid w:val="235D099E"/>
    <w:rsid w:val="339E28BE"/>
    <w:rsid w:val="46DD27A4"/>
    <w:rsid w:val="488E12E9"/>
    <w:rsid w:val="4C5F736C"/>
    <w:rsid w:val="564A7AB7"/>
    <w:rsid w:val="57696867"/>
    <w:rsid w:val="6E6B0782"/>
    <w:rsid w:val="6FA9600B"/>
    <w:rsid w:val="72BD3DA2"/>
    <w:rsid w:val="74743A61"/>
    <w:rsid w:val="79EF58AD"/>
    <w:rsid w:val="7B922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ascii="Times New Roman" w:hAnsi="Times New Roman" w:eastAsia="宋体" w:cs="Times New Roman"/>
      <w:szCs w:val="24"/>
    </w:rPr>
  </w:style>
  <w:style w:type="paragraph" w:styleId="3">
    <w:name w:val="Plain Text"/>
    <w:basedOn w:val="1"/>
    <w:next w:val="1"/>
    <w:link w:val="17"/>
    <w:qFormat/>
    <w:uiPriority w:val="0"/>
    <w:rPr>
      <w:rFonts w:ascii="宋体" w:hAnsi="Courier New" w:eastAsia="宋体" w:cs="Times New Roman"/>
      <w:sz w:val="24"/>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qFormat/>
    <w:uiPriority w:val="0"/>
    <w:rPr>
      <w:rFonts w:ascii="Times New Roman" w:hAnsi="Times New Roman" w:eastAsia="宋体" w:cs="Times New Roman"/>
      <w:sz w:val="21"/>
      <w:szCs w:val="21"/>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link w:val="2"/>
    <w:qFormat/>
    <w:uiPriority w:val="0"/>
    <w:rPr>
      <w:rFonts w:ascii="Times New Roman" w:hAnsi="Times New Roman" w:eastAsia="宋体" w:cs="Times New Roman"/>
      <w:szCs w:val="24"/>
    </w:rPr>
  </w:style>
  <w:style w:type="character" w:customStyle="1" w:styleId="14">
    <w:name w:val="批注文字 字符1"/>
    <w:basedOn w:val="8"/>
    <w:semiHidden/>
    <w:qFormat/>
    <w:uiPriority w:val="99"/>
  </w:style>
  <w:style w:type="character" w:customStyle="1" w:styleId="15">
    <w:name w:val="批注框文本 Char"/>
    <w:basedOn w:val="8"/>
    <w:link w:val="4"/>
    <w:semiHidden/>
    <w:qFormat/>
    <w:uiPriority w:val="99"/>
    <w:rPr>
      <w:sz w:val="18"/>
      <w:szCs w:val="18"/>
    </w:rPr>
  </w:style>
  <w:style w:type="paragraph" w:customStyle="1" w:styleId="16">
    <w:name w:val="Char Char8"/>
    <w:basedOn w:val="1"/>
    <w:qFormat/>
    <w:uiPriority w:val="0"/>
    <w:pPr>
      <w:spacing w:line="360" w:lineRule="auto"/>
      <w:ind w:firstLine="200" w:firstLineChars="200"/>
    </w:pPr>
    <w:rPr>
      <w:rFonts w:ascii="宋体" w:hAnsi="宋体" w:eastAsia="宋体" w:cs="宋体"/>
      <w:sz w:val="24"/>
      <w:szCs w:val="24"/>
    </w:rPr>
  </w:style>
  <w:style w:type="character" w:customStyle="1" w:styleId="17">
    <w:name w:val="纯文本 Char"/>
    <w:link w:val="3"/>
    <w:qFormat/>
    <w:uiPriority w:val="0"/>
    <w:rPr>
      <w:rFonts w:ascii="宋体" w:hAnsi="Courier New" w:eastAsia="宋体" w:cs="Times New Roman"/>
      <w:sz w:val="24"/>
    </w:rPr>
  </w:style>
  <w:style w:type="character" w:customStyle="1" w:styleId="18">
    <w:name w:val="纯文本 Char1"/>
    <w:basedOn w:val="8"/>
    <w:semiHidden/>
    <w:qFormat/>
    <w:uiPriority w:val="99"/>
    <w:rPr>
      <w:rFonts w:ascii="宋体" w:hAnsi="Courier New" w:eastAsia="宋体" w:cs="Courier New"/>
      <w:szCs w:val="21"/>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font11"/>
    <w:basedOn w:val="8"/>
    <w:uiPriority w:val="0"/>
    <w:rPr>
      <w:rFonts w:hint="eastAsia" w:ascii="宋体" w:hAnsi="宋体" w:eastAsia="宋体" w:cs="宋体"/>
      <w:color w:val="FF0000"/>
      <w:sz w:val="22"/>
      <w:szCs w:val="22"/>
      <w:u w:val="none"/>
    </w:rPr>
  </w:style>
  <w:style w:type="character" w:customStyle="1" w:styleId="21">
    <w:name w:val="font21"/>
    <w:basedOn w:val="8"/>
    <w:uiPriority w:val="0"/>
    <w:rPr>
      <w:rFonts w:hint="default" w:ascii="Tahoma" w:hAnsi="Tahoma" w:eastAsia="Tahoma" w:cs="Tahoma"/>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962D-22EB-4B10-B0D7-75F1327859FA}">
  <ds:schemaRefs/>
</ds:datastoreItem>
</file>

<file path=docProps/app.xml><?xml version="1.0" encoding="utf-8"?>
<Properties xmlns="http://schemas.openxmlformats.org/officeDocument/2006/extended-properties" xmlns:vt="http://schemas.openxmlformats.org/officeDocument/2006/docPropsVTypes">
  <Template>Normal</Template>
  <Pages>2</Pages>
  <Words>717</Words>
  <Characters>779</Characters>
  <Lines>5</Lines>
  <Paragraphs>1</Paragraphs>
  <TotalTime>4</TotalTime>
  <ScaleCrop>false</ScaleCrop>
  <LinksUpToDate>false</LinksUpToDate>
  <CharactersWithSpaces>784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2021-07-09T03:12:00Z</dcterms:created>
  <dc:creator>DELL</dc:creator>
  <cp:lastModifiedBy>于明涛</cp:lastModifiedBy>
  <cp:lastPrinted>2021-07-09T04:23:00Z</cp:lastPrinted>
  <dcterms:modified xsi:type="dcterms:W3CDTF">2022-07-05T01:39:11Z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30FC7333BE944E8EB954E7F81E95A4AA</vt:lpwstr>
  </property>
</Properties>
</file>